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ff6b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6b00"/>
          <w:sz w:val="24"/>
          <w:szCs w:val="24"/>
          <w:rtl w:val="0"/>
        </w:rPr>
        <w:t xml:space="preserve">STRATEGIC PLANNING MEETING FOR THE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ff6b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6b00"/>
          <w:sz w:val="24"/>
          <w:szCs w:val="24"/>
          <w:rtl w:val="0"/>
        </w:rPr>
        <w:t xml:space="preserve">GLOBAL INITIATIVE ON FISCAL TRANSPARENCY (GIFT)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color w:val="4c585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c585a"/>
          <w:sz w:val="24"/>
          <w:szCs w:val="24"/>
          <w:rtl w:val="0"/>
        </w:rPr>
        <w:t xml:space="preserve">IBP, Washington DC, 28 September 2016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color w:val="4c585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c585a"/>
          <w:sz w:val="24"/>
          <w:szCs w:val="24"/>
          <w:rtl w:val="0"/>
        </w:rPr>
        <w:t xml:space="preserve">820 First Street NE, Suite 510, Washington DC, 20002, tel. +1202 325 8858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4c585a"/>
        </w:rPr>
      </w:pPr>
      <w:r w:rsidDel="00000000" w:rsidR="00000000" w:rsidRPr="00000000">
        <w:rPr>
          <w:rFonts w:ascii="Arial" w:cs="Arial" w:eastAsia="Arial" w:hAnsi="Arial"/>
          <w:b w:val="1"/>
          <w:color w:val="4c585a"/>
          <w:rtl w:val="0"/>
        </w:rPr>
        <w:t xml:space="preserve">AGENDA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4c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ff6b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6b00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4c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4c585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c585a"/>
          <w:sz w:val="24"/>
          <w:szCs w:val="24"/>
          <w:rtl w:val="0"/>
        </w:rPr>
        <w:t xml:space="preserve">In the context of planning for the future of the </w:t>
      </w:r>
      <w:r w:rsidDel="00000000" w:rsidR="00000000" w:rsidRPr="00000000">
        <w:rPr>
          <w:rFonts w:ascii="Arial" w:cs="Arial" w:eastAsia="Arial" w:hAnsi="Arial"/>
          <w:b w:val="1"/>
          <w:color w:val="4c585a"/>
          <w:sz w:val="24"/>
          <w:szCs w:val="24"/>
          <w:rtl w:val="0"/>
        </w:rPr>
        <w:t xml:space="preserve">GIFT network</w:t>
      </w:r>
      <w:r w:rsidDel="00000000" w:rsidR="00000000" w:rsidRPr="00000000">
        <w:rPr>
          <w:rFonts w:ascii="Arial" w:cs="Arial" w:eastAsia="Arial" w:hAnsi="Arial"/>
          <w:color w:val="4c585a"/>
          <w:sz w:val="24"/>
          <w:szCs w:val="24"/>
          <w:rtl w:val="0"/>
        </w:rPr>
        <w:t xml:space="preserve">, the purpose of the meeting is to consider the big picture with a view to learning the main lessons of the past three years 2013-16, and identifying the main areas of </w:t>
      </w:r>
      <w:r w:rsidDel="00000000" w:rsidR="00000000" w:rsidRPr="00000000">
        <w:rPr>
          <w:rFonts w:ascii="Arial" w:cs="Arial" w:eastAsia="Arial" w:hAnsi="Arial"/>
          <w:b w:val="1"/>
          <w:color w:val="4c585a"/>
          <w:sz w:val="24"/>
          <w:szCs w:val="24"/>
          <w:rtl w:val="0"/>
        </w:rPr>
        <w:t xml:space="preserve">GIFT’s</w:t>
      </w:r>
      <w:r w:rsidDel="00000000" w:rsidR="00000000" w:rsidRPr="00000000">
        <w:rPr>
          <w:rFonts w:ascii="Arial" w:cs="Arial" w:eastAsia="Arial" w:hAnsi="Arial"/>
          <w:color w:val="4c585a"/>
          <w:sz w:val="24"/>
          <w:szCs w:val="24"/>
          <w:rtl w:val="0"/>
        </w:rPr>
        <w:t xml:space="preserve"> work moving forward.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4c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ff6b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6b00"/>
          <w:sz w:val="24"/>
          <w:szCs w:val="24"/>
          <w:rtl w:val="0"/>
        </w:rPr>
        <w:t xml:space="preserve">Specifically, the meeting will…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4c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contextualSpacing w:val="1"/>
        <w:jc w:val="left"/>
        <w:rPr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  <w:rtl w:val="0"/>
        </w:rPr>
        <w:t xml:space="preserve">Consider the preliminary findings from the evaluation study by Swedish Development Advisers.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contextualSpacing w:val="1"/>
        <w:jc w:val="left"/>
        <w:rPr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  <w:rtl w:val="0"/>
        </w:rPr>
        <w:t xml:space="preserve">Create a shared view of the key strategic issues for the next phase of GIFT in the next three years.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contextualSpacing w:val="1"/>
        <w:jc w:val="left"/>
        <w:rPr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  <w:rtl w:val="0"/>
        </w:rPr>
        <w:t xml:space="preserve">Gain broad agreement on how to address the identified main issues in the development of the next phase and agree a way forward for any outstanding issues.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color w:val="4c585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6.0" w:type="dxa"/>
        <w:jc w:val="left"/>
        <w:tblInd w:w="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13"/>
        <w:gridCol w:w="6753"/>
        <w:tblGridChange w:id="0">
          <w:tblGrid>
            <w:gridCol w:w="2013"/>
            <w:gridCol w:w="6753"/>
          </w:tblGrid>
        </w:tblGridChange>
      </w:tblGrid>
      <w:tr>
        <w:tc>
          <w:tcPr>
            <w:shd w:fill="ff6b00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8.30 - 9.00</w:t>
            </w:r>
          </w:p>
        </w:tc>
        <w:tc>
          <w:tcPr>
            <w:shd w:fill="ff6b00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 breakfast 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9.00 - 9.10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 and introductory remarks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Juan Pablo Guerrero, GIFT Network Director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9.10 – 9.40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color w:val="4c585a"/>
                <w:rtl w:val="0"/>
              </w:rPr>
              <w:t xml:space="preserve">Overview of the day, introductions and expectations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i w:val="1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c585a"/>
                <w:rtl w:val="0"/>
              </w:rPr>
              <w:t xml:space="preserve">Samantha Wade, facilitator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9.40 – 10.30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color w:val="4c585a"/>
                <w:rtl w:val="0"/>
              </w:rPr>
              <w:t xml:space="preserve">Overview of the GIFT evaluation findings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i w:val="1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c585a"/>
                <w:rtl w:val="0"/>
              </w:rPr>
              <w:t xml:space="preserve">Åsa Königson, SDA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10.30 – 11.15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color w:val="4c585a"/>
                <w:rtl w:val="0"/>
              </w:rPr>
              <w:t xml:space="preserve">Questions for the evaluation team from GIFT Network stewards and partners</w:t>
            </w:r>
          </w:p>
        </w:tc>
      </w:tr>
      <w:tr>
        <w:tc>
          <w:tcPr>
            <w:shd w:fill="ff6b00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11.15 – 11.40</w:t>
            </w:r>
          </w:p>
        </w:tc>
        <w:tc>
          <w:tcPr>
            <w:shd w:fill="ff6b00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11.40 – 12.30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color w:val="4c585a"/>
                <w:rtl w:val="0"/>
              </w:rPr>
              <w:t xml:space="preserve">Identification of the key strategic issues to discuss in the afternoon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i w:val="1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c585a"/>
                <w:rtl w:val="0"/>
              </w:rPr>
              <w:t xml:space="preserve">Samantha Wade, facilitator</w:t>
            </w:r>
          </w:p>
        </w:tc>
      </w:tr>
      <w:tr>
        <w:tc>
          <w:tcPr>
            <w:shd w:fill="ff6b00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12.30 – 13.30</w:t>
            </w:r>
          </w:p>
        </w:tc>
        <w:tc>
          <w:tcPr>
            <w:shd w:fill="ff6b00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Lunch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13.30 – 15.00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color w:val="4c585a"/>
                <w:rtl w:val="0"/>
              </w:rPr>
              <w:t xml:space="preserve">Discussion and agreement on the key issues</w:t>
            </w:r>
          </w:p>
        </w:tc>
      </w:tr>
      <w:tr>
        <w:tc>
          <w:tcPr>
            <w:shd w:fill="ff6b00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– 15.30</w:t>
            </w:r>
          </w:p>
        </w:tc>
        <w:tc>
          <w:tcPr>
            <w:shd w:fill="ff6b00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Break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c58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 – 17.00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4c585a"/>
              </w:rPr>
            </w:pPr>
            <w:r w:rsidDel="00000000" w:rsidR="00000000" w:rsidRPr="00000000">
              <w:rPr>
                <w:rFonts w:ascii="Arial" w:cs="Arial" w:eastAsia="Arial" w:hAnsi="Arial"/>
                <w:color w:val="4c585a"/>
                <w:rtl w:val="0"/>
              </w:rPr>
              <w:t xml:space="preserve">Conclusion of discussion and confirmation of matters decided</w:t>
            </w:r>
          </w:p>
        </w:tc>
      </w:tr>
      <w:tr>
        <w:tc>
          <w:tcPr>
            <w:shd w:fill="ff6b00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</w:t>
            </w:r>
          </w:p>
        </w:tc>
        <w:tc>
          <w:tcPr>
            <w:shd w:fill="ff6b00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Close of day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58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b00"/>
          <w:sz w:val="24"/>
          <w:szCs w:val="24"/>
          <w:u w:val="none"/>
          <w:shd w:fill="auto" w:val="clear"/>
          <w:vertAlign w:val="baseline"/>
          <w:rtl w:val="0"/>
        </w:rPr>
        <w:t xml:space="preserve">Output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585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firstLine="0"/>
        <w:contextualSpacing w:val="0"/>
        <w:rPr>
          <w:rFonts w:ascii="Arial" w:cs="Arial" w:eastAsia="Arial" w:hAnsi="Arial"/>
          <w:color w:val="4c585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c585a"/>
          <w:sz w:val="24"/>
          <w:szCs w:val="24"/>
          <w:rtl w:val="0"/>
        </w:rPr>
        <w:t xml:space="preserve">The output of the workshop will be a set of agreements at a broad level to support the next phase of GIFT going forward, for subsequent more detailed discussion and design. </w:t>
      </w:r>
    </w:p>
    <w:sectPr>
      <w:headerReference r:id="rId5" w:type="default"/>
      <w:footerReference r:id="rId6" w:type="default"/>
      <w:pgSz w:h="16838" w:w="11906"/>
      <w:pgMar w:bottom="1440" w:top="219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4c58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c585a"/>
        <w:sz w:val="20"/>
        <w:szCs w:val="20"/>
        <w:u w:val="none"/>
        <w:shd w:fill="auto" w:val="clear"/>
        <w:vertAlign w:val="baseline"/>
        <w:rtl w:val="0"/>
      </w:rPr>
      <w:t xml:space="preserve">fiscaltransparency.net</w:t>
      <w:tab/>
      <w:tab/>
      <w:t xml:space="preserve">@FiscalTrans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2389505</wp:posOffset>
          </wp:positionH>
          <wp:positionV relativeFrom="paragraph">
            <wp:posOffset>0</wp:posOffset>
          </wp:positionV>
          <wp:extent cx="952500" cy="635000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