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Arial" w:cs="Arial" w:eastAsia="Arial" w:hAnsi="Arial"/>
          <w:b w:val="1"/>
          <w:color w:val="ff6b00"/>
          <w:sz w:val="24"/>
          <w:szCs w:val="24"/>
        </w:rPr>
      </w:pPr>
      <w:bookmarkStart w:colFirst="0" w:colLast="0" w:name="_gjdgxs" w:id="0"/>
      <w:bookmarkEnd w:id="0"/>
      <w:r w:rsidDel="00000000" w:rsidR="00000000" w:rsidRPr="00000000">
        <w:rPr>
          <w:rFonts w:ascii="Arial" w:cs="Arial" w:eastAsia="Arial" w:hAnsi="Arial"/>
          <w:b w:val="1"/>
          <w:color w:val="ff6b00"/>
          <w:sz w:val="24"/>
          <w:szCs w:val="24"/>
          <w:rtl w:val="0"/>
        </w:rPr>
        <w:t xml:space="preserve">PRESENTATION SEMINAR</w:t>
      </w:r>
    </w:p>
    <w:p w:rsidR="00000000" w:rsidDel="00000000" w:rsidP="00000000" w:rsidRDefault="00000000" w:rsidRPr="00000000">
      <w:pPr>
        <w:spacing w:after="0" w:line="240" w:lineRule="auto"/>
        <w:contextualSpacing w:val="0"/>
        <w:jc w:val="center"/>
        <w:rPr>
          <w:rFonts w:ascii="Arial" w:cs="Arial" w:eastAsia="Arial" w:hAnsi="Arial"/>
          <w:b w:val="1"/>
          <w:color w:val="ff6b00"/>
          <w:sz w:val="24"/>
          <w:szCs w:val="24"/>
        </w:rPr>
      </w:pPr>
      <w:r w:rsidDel="00000000" w:rsidR="00000000" w:rsidRPr="00000000">
        <w:rPr>
          <w:rFonts w:ascii="Arial" w:cs="Arial" w:eastAsia="Arial" w:hAnsi="Arial"/>
          <w:b w:val="1"/>
          <w:color w:val="ff6b00"/>
          <w:sz w:val="24"/>
          <w:szCs w:val="24"/>
          <w:rtl w:val="0"/>
        </w:rPr>
        <w:t xml:space="preserve">GUIDE ON PRINCIPLES AND MECHANISMS OF PUBLIC PARTICIPATION IN FISCAL POLICIES</w:t>
      </w:r>
    </w:p>
    <w:p w:rsidR="00000000" w:rsidDel="00000000" w:rsidP="00000000" w:rsidRDefault="00000000" w:rsidRPr="00000000">
      <w:pPr>
        <w:spacing w:after="0" w:line="240" w:lineRule="auto"/>
        <w:contextualSpacing w:val="0"/>
        <w:jc w:val="center"/>
        <w:rPr>
          <w:rFonts w:ascii="Arial" w:cs="Arial" w:eastAsia="Arial" w:hAnsi="Arial"/>
          <w:color w:val="4c585a"/>
          <w:sz w:val="24"/>
          <w:szCs w:val="24"/>
        </w:rPr>
      </w:pPr>
      <w:r w:rsidDel="00000000" w:rsidR="00000000" w:rsidRPr="00000000">
        <w:rPr>
          <w:rFonts w:ascii="Arial" w:cs="Arial" w:eastAsia="Arial" w:hAnsi="Arial"/>
          <w:color w:val="4c585a"/>
          <w:sz w:val="24"/>
          <w:szCs w:val="24"/>
          <w:rtl w:val="0"/>
        </w:rPr>
        <w:t xml:space="preserve">IBP, Washington DC, 29 September 2016</w:t>
      </w:r>
    </w:p>
    <w:p w:rsidR="00000000" w:rsidDel="00000000" w:rsidP="00000000" w:rsidRDefault="00000000" w:rsidRPr="00000000">
      <w:pPr>
        <w:spacing w:after="0" w:line="240" w:lineRule="auto"/>
        <w:contextualSpacing w:val="0"/>
        <w:jc w:val="center"/>
        <w:rPr>
          <w:rFonts w:ascii="Arial" w:cs="Arial" w:eastAsia="Arial" w:hAnsi="Arial"/>
          <w:color w:val="4c585a"/>
          <w:sz w:val="24"/>
          <w:szCs w:val="24"/>
        </w:rPr>
      </w:pPr>
      <w:r w:rsidDel="00000000" w:rsidR="00000000" w:rsidRPr="00000000">
        <w:rPr>
          <w:rFonts w:ascii="Arial" w:cs="Arial" w:eastAsia="Arial" w:hAnsi="Arial"/>
          <w:color w:val="4c585a"/>
          <w:sz w:val="24"/>
          <w:szCs w:val="24"/>
          <w:rtl w:val="0"/>
        </w:rPr>
        <w:t xml:space="preserve">820 First Street NE, Suite 510, Washington DC, 20002, tel. +1202 325 8858</w:t>
      </w:r>
    </w:p>
    <w:p w:rsidR="00000000" w:rsidDel="00000000" w:rsidP="00000000" w:rsidRDefault="00000000" w:rsidRPr="00000000">
      <w:pPr>
        <w:spacing w:after="0" w:line="240" w:lineRule="auto"/>
        <w:contextualSpacing w:val="0"/>
        <w:jc w:val="center"/>
        <w:rPr>
          <w:rFonts w:ascii="Arial" w:cs="Arial" w:eastAsia="Arial" w:hAnsi="Arial"/>
          <w:b w:val="1"/>
          <w:color w:val="4c585a"/>
        </w:rPr>
      </w:pPr>
      <w:r w:rsidDel="00000000" w:rsidR="00000000" w:rsidRPr="00000000">
        <w:rPr>
          <w:rFonts w:ascii="Arial" w:cs="Arial" w:eastAsia="Arial" w:hAnsi="Arial"/>
          <w:b w:val="1"/>
          <w:color w:val="4c585a"/>
          <w:rtl w:val="0"/>
        </w:rPr>
        <w:t xml:space="preserve">AGENDA</w:t>
      </w:r>
    </w:p>
    <w:p w:rsidR="00000000" w:rsidDel="00000000" w:rsidP="00000000" w:rsidRDefault="00000000" w:rsidRPr="00000000">
      <w:pPr>
        <w:spacing w:after="0" w:line="240" w:lineRule="auto"/>
        <w:contextualSpacing w:val="0"/>
        <w:rPr>
          <w:rFonts w:ascii="Arial" w:cs="Arial" w:eastAsia="Arial" w:hAnsi="Arial"/>
          <w:b w:val="1"/>
          <w:color w:val="4c585a"/>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ff6b00"/>
          <w:sz w:val="24"/>
          <w:szCs w:val="24"/>
        </w:rPr>
      </w:pPr>
      <w:r w:rsidDel="00000000" w:rsidR="00000000" w:rsidRPr="00000000">
        <w:rPr>
          <w:rFonts w:ascii="Arial" w:cs="Arial" w:eastAsia="Arial" w:hAnsi="Arial"/>
          <w:b w:val="1"/>
          <w:color w:val="ff6b00"/>
          <w:sz w:val="24"/>
          <w:szCs w:val="24"/>
          <w:rtl w:val="0"/>
        </w:rPr>
        <w:t xml:space="preserve">Objectives</w:t>
      </w:r>
    </w:p>
    <w:p w:rsidR="00000000" w:rsidDel="00000000" w:rsidP="00000000" w:rsidRDefault="00000000" w:rsidRPr="00000000">
      <w:pPr>
        <w:spacing w:after="0" w:line="240" w:lineRule="auto"/>
        <w:contextualSpacing w:val="0"/>
        <w:rPr>
          <w:rFonts w:ascii="Arial" w:cs="Arial" w:eastAsia="Arial" w:hAnsi="Arial"/>
          <w:color w:val="4c585a"/>
          <w:sz w:val="24"/>
          <w:szCs w:val="24"/>
        </w:rPr>
      </w:pPr>
      <w:r w:rsidDel="00000000" w:rsidR="00000000" w:rsidRPr="00000000">
        <w:rPr>
          <w:rFonts w:ascii="Arial" w:cs="Arial" w:eastAsia="Arial" w:hAnsi="Arial"/>
          <w:color w:val="4c585a"/>
          <w:sz w:val="24"/>
          <w:szCs w:val="24"/>
          <w:rtl w:val="0"/>
        </w:rPr>
        <w:t xml:space="preserve">To present the draft Guide on Public Participation Principles and Mechanisms and engage experts on a discussion about its structure, contents and methodological framework to continue expanding its contents.  Feedback will be used to make final edits and adjustments before the official presentation at the OGP France Summit in December.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0" w:right="0" w:firstLine="0"/>
        <w:contextualSpacing w:val="0"/>
        <w:jc w:val="left"/>
        <w:rPr>
          <w:rFonts w:ascii="Arial" w:cs="Arial" w:eastAsia="Arial" w:hAnsi="Arial"/>
          <w:b w:val="0"/>
          <w:i w:val="0"/>
          <w:smallCaps w:val="0"/>
          <w:strike w:val="0"/>
          <w:color w:val="4c585a"/>
          <w:sz w:val="24"/>
          <w:szCs w:val="24"/>
          <w:u w:val="none"/>
          <w:shd w:fill="auto" w:val="clear"/>
          <w:vertAlign w:val="baseline"/>
        </w:rPr>
      </w:pPr>
      <w:r w:rsidDel="00000000" w:rsidR="00000000" w:rsidRPr="00000000">
        <w:rPr>
          <w:rFonts w:ascii="Arial" w:cs="Arial" w:eastAsia="Arial" w:hAnsi="Arial"/>
          <w:b w:val="0"/>
          <w:i w:val="0"/>
          <w:smallCaps w:val="0"/>
          <w:strike w:val="0"/>
          <w:color w:val="500050"/>
          <w:sz w:val="19"/>
          <w:szCs w:val="19"/>
          <w:u w:val="none"/>
          <w:shd w:fill="auto" w:val="clear"/>
          <w:vertAlign w:val="baseline"/>
          <w:rtl w:val="0"/>
        </w:rPr>
        <w:br w:type="textWrapping"/>
      </w:r>
      <w:r w:rsidDel="00000000" w:rsidR="00000000" w:rsidRPr="00000000">
        <w:rPr>
          <w:rtl w:val="0"/>
        </w:rPr>
      </w:r>
    </w:p>
    <w:tbl>
      <w:tblPr>
        <w:tblStyle w:val="Table1"/>
        <w:tblW w:w="8766.0" w:type="dxa"/>
        <w:jc w:val="left"/>
        <w:tblInd w:w="25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13"/>
        <w:gridCol w:w="6753"/>
        <w:tblGridChange w:id="0">
          <w:tblGrid>
            <w:gridCol w:w="2013"/>
            <w:gridCol w:w="6753"/>
          </w:tblGrid>
        </w:tblGridChange>
      </w:tblGrid>
      <w:tr>
        <w:tc>
          <w:tcPr>
            <w:shd w:fill="ff6b0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8.30 - 9.00</w:t>
            </w:r>
          </w:p>
        </w:tc>
        <w:tc>
          <w:tcPr>
            <w:shd w:fill="ff6b0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Welcome breakfast </w:t>
            </w:r>
          </w:p>
        </w:tc>
      </w:tr>
      <w:tr>
        <w:tc>
          <w:tcPr>
            <w:tcBorders>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9.00 - 9.20</w:t>
            </w:r>
          </w:p>
        </w:tc>
        <w:tc>
          <w:tcPr>
            <w:tcBorders>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Welcome and introductory remarks: Guide’s background and objectives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1"/>
                <w:smallCaps w:val="0"/>
                <w:strike w:val="0"/>
                <w:color w:val="4c585a"/>
                <w:sz w:val="22"/>
                <w:szCs w:val="22"/>
                <w:u w:val="none"/>
                <w:shd w:fill="auto" w:val="clear"/>
                <w:vertAlign w:val="baseline"/>
              </w:rPr>
            </w:pPr>
            <w:r w:rsidDel="00000000" w:rsidR="00000000" w:rsidRPr="00000000">
              <w:rPr>
                <w:rFonts w:ascii="Arial" w:cs="Arial" w:eastAsia="Arial" w:hAnsi="Arial"/>
                <w:b w:val="0"/>
                <w:i w:val="1"/>
                <w:smallCaps w:val="0"/>
                <w:strike w:val="0"/>
                <w:color w:val="4c585a"/>
                <w:sz w:val="22"/>
                <w:szCs w:val="22"/>
                <w:u w:val="none"/>
                <w:shd w:fill="auto" w:val="clear"/>
                <w:vertAlign w:val="baseline"/>
                <w:rtl w:val="0"/>
              </w:rPr>
              <w:t xml:space="preserve">Juan Pablo Guerrero, GIFT Network Director </w:t>
            </w:r>
          </w:p>
        </w:tc>
      </w:tr>
      <w:t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9.20 – 9.50</w:t>
            </w:r>
          </w:p>
        </w:tc>
        <w:tc>
          <w:tcPr>
            <w:tcBorders>
              <w:top w:color="000000" w:space="0" w:sz="4" w:val="single"/>
              <w:bottom w:color="000000" w:space="0" w:sz="4" w:val="single"/>
            </w:tcBorders>
          </w:tcPr>
          <w:p w:rsidR="00000000" w:rsidDel="00000000" w:rsidP="00000000" w:rsidRDefault="00000000" w:rsidRPr="00000000">
            <w:pPr>
              <w:spacing w:after="0" w:lineRule="auto"/>
              <w:contextualSpacing w:val="0"/>
              <w:rPr>
                <w:rFonts w:ascii="Arial" w:cs="Arial" w:eastAsia="Arial" w:hAnsi="Arial"/>
                <w:color w:val="4c585a"/>
              </w:rPr>
            </w:pPr>
            <w:r w:rsidDel="00000000" w:rsidR="00000000" w:rsidRPr="00000000">
              <w:rPr>
                <w:rFonts w:ascii="Arial" w:cs="Arial" w:eastAsia="Arial" w:hAnsi="Arial"/>
                <w:color w:val="4c585a"/>
                <w:rtl w:val="0"/>
              </w:rPr>
              <w:t xml:space="preserve">Structure and contents of cases/ practices </w:t>
              <w:br w:type="textWrapping"/>
              <w:t xml:space="preserve">(15 min. presentation &amp; 15 min Q&amp;A)</w:t>
            </w:r>
          </w:p>
          <w:p w:rsidR="00000000" w:rsidDel="00000000" w:rsidP="00000000" w:rsidRDefault="00000000" w:rsidRPr="00000000">
            <w:pPr>
              <w:spacing w:after="0" w:lineRule="auto"/>
              <w:contextualSpacing w:val="0"/>
              <w:rPr>
                <w:rFonts w:ascii="Arial" w:cs="Arial" w:eastAsia="Arial" w:hAnsi="Arial"/>
                <w:i w:val="1"/>
                <w:color w:val="4c585a"/>
              </w:rPr>
            </w:pPr>
            <w:r w:rsidDel="00000000" w:rsidR="00000000" w:rsidRPr="00000000">
              <w:rPr>
                <w:rFonts w:ascii="Arial" w:cs="Arial" w:eastAsia="Arial" w:hAnsi="Arial"/>
                <w:i w:val="1"/>
                <w:color w:val="4c585a"/>
                <w:rtl w:val="0"/>
              </w:rPr>
              <w:t xml:space="preserve">Tania Sánchez, GIFT</w:t>
            </w:r>
          </w:p>
        </w:tc>
      </w:tr>
      <w:tr>
        <w:tc>
          <w:tcPr>
            <w:tcBorders>
              <w:top w:color="000000" w:space="0" w:sz="4" w:val="single"/>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9.50 – 10.20</w:t>
            </w:r>
          </w:p>
        </w:tc>
        <w:tc>
          <w:tcPr>
            <w:tcBorders>
              <w:top w:color="000000" w:space="0" w:sz="4" w:val="single"/>
              <w:bottom w:color="000000" w:space="0" w:sz="4" w:val="single"/>
            </w:tcBorders>
          </w:tcPr>
          <w:p w:rsidR="00000000" w:rsidDel="00000000" w:rsidP="00000000" w:rsidRDefault="00000000" w:rsidRPr="00000000">
            <w:pPr>
              <w:spacing w:after="0" w:lineRule="auto"/>
              <w:contextualSpacing w:val="0"/>
              <w:rPr>
                <w:rFonts w:ascii="Arial" w:cs="Arial" w:eastAsia="Arial" w:hAnsi="Arial"/>
                <w:color w:val="4c585a"/>
              </w:rPr>
            </w:pPr>
            <w:r w:rsidDel="00000000" w:rsidR="00000000" w:rsidRPr="00000000">
              <w:rPr>
                <w:rFonts w:ascii="Arial" w:cs="Arial" w:eastAsia="Arial" w:hAnsi="Arial"/>
                <w:color w:val="4c585a"/>
                <w:rtl w:val="0"/>
              </w:rPr>
              <w:t xml:space="preserve">How cases illustrate the principles</w:t>
              <w:br w:type="textWrapping"/>
              <w:t xml:space="preserve">(15 min. presentation &amp; 15 min Q&amp;A)</w:t>
            </w:r>
          </w:p>
          <w:p w:rsidR="00000000" w:rsidDel="00000000" w:rsidP="00000000" w:rsidRDefault="00000000" w:rsidRPr="00000000">
            <w:pPr>
              <w:spacing w:after="0" w:lineRule="auto"/>
              <w:contextualSpacing w:val="0"/>
              <w:rPr>
                <w:rFonts w:ascii="Arial" w:cs="Arial" w:eastAsia="Arial" w:hAnsi="Arial"/>
                <w:i w:val="1"/>
                <w:color w:val="4c585a"/>
              </w:rPr>
            </w:pPr>
            <w:r w:rsidDel="00000000" w:rsidR="00000000" w:rsidRPr="00000000">
              <w:rPr>
                <w:rFonts w:ascii="Arial" w:cs="Arial" w:eastAsia="Arial" w:hAnsi="Arial"/>
                <w:i w:val="1"/>
                <w:color w:val="4c585a"/>
                <w:rtl w:val="0"/>
              </w:rPr>
              <w:t xml:space="preserve">Murray Petrie, GIFT </w:t>
            </w:r>
          </w:p>
        </w:tc>
      </w:tr>
      <w:tr>
        <w:tc>
          <w:tcPr>
            <w:tcBorders>
              <w:top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10.20 – 10:50</w:t>
            </w:r>
          </w:p>
        </w:tc>
        <w:tc>
          <w:tcPr>
            <w:tcBorders>
              <w:top w:color="000000" w:space="0" w:sz="4" w:val="single"/>
            </w:tcBorders>
          </w:tcPr>
          <w:p w:rsidR="00000000" w:rsidDel="00000000" w:rsidP="00000000" w:rsidRDefault="00000000" w:rsidRPr="00000000">
            <w:pPr>
              <w:spacing w:after="0" w:lineRule="auto"/>
              <w:contextualSpacing w:val="0"/>
              <w:rPr>
                <w:rFonts w:ascii="Arial" w:cs="Arial" w:eastAsia="Arial" w:hAnsi="Arial"/>
                <w:color w:val="4c585a"/>
              </w:rPr>
            </w:pPr>
            <w:r w:rsidDel="00000000" w:rsidR="00000000" w:rsidRPr="00000000">
              <w:rPr>
                <w:rFonts w:ascii="Arial" w:cs="Arial" w:eastAsia="Arial" w:hAnsi="Arial"/>
                <w:color w:val="4c585a"/>
                <w:rtl w:val="0"/>
              </w:rPr>
              <w:t xml:space="preserve">Methodological framework for the development of new cases</w:t>
            </w:r>
          </w:p>
          <w:p w:rsidR="00000000" w:rsidDel="00000000" w:rsidP="00000000" w:rsidRDefault="00000000" w:rsidRPr="00000000">
            <w:pPr>
              <w:spacing w:after="0" w:lineRule="auto"/>
              <w:contextualSpacing w:val="0"/>
              <w:rPr>
                <w:rFonts w:ascii="Arial" w:cs="Arial" w:eastAsia="Arial" w:hAnsi="Arial"/>
                <w:color w:val="4c585a"/>
              </w:rPr>
            </w:pPr>
            <w:r w:rsidDel="00000000" w:rsidR="00000000" w:rsidRPr="00000000">
              <w:rPr>
                <w:rFonts w:ascii="Arial" w:cs="Arial" w:eastAsia="Arial" w:hAnsi="Arial"/>
                <w:color w:val="4c585a"/>
                <w:rtl w:val="0"/>
              </w:rPr>
              <w:t xml:space="preserve">(15 min. presentation &amp; 15 min Q&amp;A)</w:t>
            </w:r>
          </w:p>
          <w:p w:rsidR="00000000" w:rsidDel="00000000" w:rsidP="00000000" w:rsidRDefault="00000000" w:rsidRPr="00000000">
            <w:pPr>
              <w:spacing w:after="0" w:lineRule="auto"/>
              <w:contextualSpacing w:val="0"/>
              <w:rPr>
                <w:rFonts w:ascii="Arial" w:cs="Arial" w:eastAsia="Arial" w:hAnsi="Arial"/>
                <w:i w:val="1"/>
                <w:color w:val="4c585a"/>
              </w:rPr>
            </w:pPr>
            <w:r w:rsidDel="00000000" w:rsidR="00000000" w:rsidRPr="00000000">
              <w:rPr>
                <w:rFonts w:ascii="Arial" w:cs="Arial" w:eastAsia="Arial" w:hAnsi="Arial"/>
                <w:i w:val="1"/>
                <w:color w:val="4c585a"/>
                <w:rtl w:val="0"/>
              </w:rPr>
              <w:t xml:space="preserve">Sruti Bandyopadhyay, GIFT (consultant)</w:t>
            </w:r>
          </w:p>
        </w:tc>
      </w:tr>
      <w:tr>
        <w:tc>
          <w:tcPr>
            <w:shd w:fill="ff6b0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10.50 – 11.10</w:t>
            </w:r>
          </w:p>
        </w:tc>
        <w:tc>
          <w:tcPr>
            <w:shd w:fill="ff6b00" w:val="clear"/>
          </w:tcPr>
          <w:p w:rsidR="00000000" w:rsidDel="00000000" w:rsidP="00000000" w:rsidRDefault="00000000" w:rsidRPr="00000000">
            <w:pPr>
              <w:spacing w:after="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Break</w:t>
            </w:r>
          </w:p>
        </w:tc>
      </w:tr>
      <w:tr>
        <w:tc>
          <w:tcPr>
            <w:tcBorders>
              <w:bottom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11.10 – 11.40</w:t>
            </w:r>
          </w:p>
        </w:tc>
        <w:tc>
          <w:tcPr>
            <w:tcBorders>
              <w:bottom w:color="000000" w:space="0" w:sz="4" w:val="single"/>
            </w:tcBorders>
          </w:tcPr>
          <w:p w:rsidR="00000000" w:rsidDel="00000000" w:rsidP="00000000" w:rsidRDefault="00000000" w:rsidRPr="00000000">
            <w:pPr>
              <w:spacing w:after="0" w:lineRule="auto"/>
              <w:contextualSpacing w:val="0"/>
              <w:rPr>
                <w:rFonts w:ascii="Arial" w:cs="Arial" w:eastAsia="Arial" w:hAnsi="Arial"/>
                <w:color w:val="4c585a"/>
              </w:rPr>
            </w:pPr>
            <w:r w:rsidDel="00000000" w:rsidR="00000000" w:rsidRPr="00000000">
              <w:rPr>
                <w:rFonts w:ascii="Arial" w:cs="Arial" w:eastAsia="Arial" w:hAnsi="Arial"/>
                <w:color w:val="4c585a"/>
                <w:rtl w:val="0"/>
              </w:rPr>
              <w:t xml:space="preserve">Website presentation </w:t>
            </w:r>
          </w:p>
          <w:p w:rsidR="00000000" w:rsidDel="00000000" w:rsidP="00000000" w:rsidRDefault="00000000" w:rsidRPr="00000000">
            <w:pPr>
              <w:spacing w:after="0" w:lineRule="auto"/>
              <w:contextualSpacing w:val="0"/>
              <w:rPr>
                <w:rFonts w:ascii="Arial" w:cs="Arial" w:eastAsia="Arial" w:hAnsi="Arial"/>
                <w:i w:val="1"/>
                <w:color w:val="4c585a"/>
              </w:rPr>
            </w:pPr>
            <w:r w:rsidDel="00000000" w:rsidR="00000000" w:rsidRPr="00000000">
              <w:rPr>
                <w:rFonts w:ascii="Arial" w:cs="Arial" w:eastAsia="Arial" w:hAnsi="Arial"/>
                <w:i w:val="1"/>
                <w:color w:val="4c585a"/>
                <w:rtl w:val="0"/>
              </w:rPr>
              <w:t xml:space="preserve">Tarick Gracida &amp; Tania Sánchez, GIFT </w:t>
            </w:r>
          </w:p>
        </w:tc>
      </w:tr>
      <w:tr>
        <w:tc>
          <w:tcPr>
            <w:tcBorders>
              <w:top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11.40 – 12.10</w:t>
            </w:r>
          </w:p>
        </w:tc>
        <w:tc>
          <w:tcPr>
            <w:tcBorders>
              <w:top w:color="000000" w:space="0" w:sz="4" w:val="single"/>
            </w:tcBorders>
          </w:tcPr>
          <w:p w:rsidR="00000000" w:rsidDel="00000000" w:rsidP="00000000" w:rsidRDefault="00000000" w:rsidRPr="00000000">
            <w:pPr>
              <w:spacing w:after="0" w:lineRule="auto"/>
              <w:contextualSpacing w:val="0"/>
              <w:rPr>
                <w:rFonts w:ascii="Arial" w:cs="Arial" w:eastAsia="Arial" w:hAnsi="Arial"/>
                <w:color w:val="4c585a"/>
              </w:rPr>
            </w:pPr>
            <w:r w:rsidDel="00000000" w:rsidR="00000000" w:rsidRPr="00000000">
              <w:rPr>
                <w:rFonts w:ascii="Arial" w:cs="Arial" w:eastAsia="Arial" w:hAnsi="Arial"/>
                <w:color w:val="4c585a"/>
                <w:rtl w:val="0"/>
              </w:rPr>
              <w:t xml:space="preserve">Breakout groups to discuss methodological framework </w:t>
            </w:r>
          </w:p>
        </w:tc>
      </w:tr>
      <w:tr>
        <w:tc>
          <w:tcPr>
            <w:tcBorders>
              <w:top w:color="000000" w:space="0" w:sz="4" w:val="single"/>
            </w:tcBorders>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4c585a"/>
                <w:sz w:val="22"/>
                <w:szCs w:val="22"/>
                <w:u w:val="none"/>
                <w:shd w:fill="auto" w:val="clear"/>
                <w:vertAlign w:val="baseline"/>
              </w:rPr>
            </w:pPr>
            <w:r w:rsidDel="00000000" w:rsidR="00000000" w:rsidRPr="00000000">
              <w:rPr>
                <w:rFonts w:ascii="Arial" w:cs="Arial" w:eastAsia="Arial" w:hAnsi="Arial"/>
                <w:b w:val="0"/>
                <w:i w:val="0"/>
                <w:smallCaps w:val="0"/>
                <w:strike w:val="0"/>
                <w:color w:val="4c585a"/>
                <w:sz w:val="22"/>
                <w:szCs w:val="22"/>
                <w:u w:val="none"/>
                <w:shd w:fill="auto" w:val="clear"/>
                <w:vertAlign w:val="baseline"/>
                <w:rtl w:val="0"/>
              </w:rPr>
              <w:t xml:space="preserve">12.10 – 12.40</w:t>
            </w:r>
          </w:p>
        </w:tc>
        <w:tc>
          <w:tcPr>
            <w:tcBorders>
              <w:top w:color="000000" w:space="0" w:sz="4" w:val="single"/>
            </w:tcBorders>
          </w:tcPr>
          <w:p w:rsidR="00000000" w:rsidDel="00000000" w:rsidP="00000000" w:rsidRDefault="00000000" w:rsidRPr="00000000">
            <w:pPr>
              <w:spacing w:after="0" w:lineRule="auto"/>
              <w:contextualSpacing w:val="0"/>
              <w:rPr>
                <w:rFonts w:ascii="Arial" w:cs="Arial" w:eastAsia="Arial" w:hAnsi="Arial"/>
                <w:color w:val="4c585a"/>
              </w:rPr>
            </w:pPr>
            <w:r w:rsidDel="00000000" w:rsidR="00000000" w:rsidRPr="00000000">
              <w:rPr>
                <w:rFonts w:ascii="Arial" w:cs="Arial" w:eastAsia="Arial" w:hAnsi="Arial"/>
                <w:color w:val="4c585a"/>
                <w:rtl w:val="0"/>
              </w:rPr>
              <w:t xml:space="preserve">Recommendations: general and on the methodological framework </w:t>
            </w:r>
          </w:p>
        </w:tc>
      </w:tr>
      <w:tr>
        <w:tc>
          <w:tcPr>
            <w:shd w:fill="ff6b00" w:val="clear"/>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12.40 – 14.00</w:t>
            </w:r>
          </w:p>
        </w:tc>
        <w:tc>
          <w:tcPr>
            <w:shd w:fill="ff6b00" w:val="clear"/>
          </w:tcPr>
          <w:p w:rsidR="00000000" w:rsidDel="00000000" w:rsidP="00000000" w:rsidRDefault="00000000" w:rsidRPr="00000000">
            <w:pPr>
              <w:spacing w:after="0" w:lineRule="auto"/>
              <w:contextualSpacing w:val="0"/>
              <w:rPr>
                <w:rFonts w:ascii="Arial" w:cs="Arial" w:eastAsia="Arial" w:hAnsi="Arial"/>
                <w:color w:val="ffffff"/>
              </w:rPr>
            </w:pPr>
            <w:r w:rsidDel="00000000" w:rsidR="00000000" w:rsidRPr="00000000">
              <w:rPr>
                <w:rFonts w:ascii="Arial" w:cs="Arial" w:eastAsia="Arial" w:hAnsi="Arial"/>
                <w:color w:val="ffffff"/>
                <w:rtl w:val="0"/>
              </w:rPr>
              <w:t xml:space="preserve">Close of day and lunch</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contextualSpacing w:val="0"/>
        <w:jc w:val="left"/>
        <w:rPr>
          <w:rFonts w:ascii="Arial" w:cs="Arial" w:eastAsia="Arial" w:hAnsi="Arial"/>
          <w:b w:val="0"/>
          <w:i w:val="0"/>
          <w:smallCaps w:val="0"/>
          <w:strike w:val="0"/>
          <w:color w:val="4c585a"/>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ind w:left="142" w:firstLine="0"/>
        <w:contextualSpacing w:val="0"/>
        <w:rPr>
          <w:rFonts w:ascii="Arial" w:cs="Arial" w:eastAsia="Arial" w:hAnsi="Arial"/>
          <w:color w:val="4c585a"/>
          <w:sz w:val="24"/>
          <w:szCs w:val="24"/>
        </w:rPr>
      </w:pPr>
      <w:r w:rsidDel="00000000" w:rsidR="00000000" w:rsidRPr="00000000">
        <w:rPr>
          <w:rFonts w:ascii="Arial" w:cs="Arial" w:eastAsia="Arial" w:hAnsi="Arial"/>
          <w:color w:val="4c585a"/>
          <w:sz w:val="24"/>
          <w:szCs w:val="24"/>
          <w:rtl w:val="0"/>
        </w:rPr>
        <w:t xml:space="preserve"> </w:t>
      </w:r>
    </w:p>
    <w:sectPr>
      <w:headerReference r:id="rId5" w:type="default"/>
      <w:footerReference r:id="rId6" w:type="default"/>
      <w:pgSz w:h="16838" w:w="11906"/>
      <w:pgMar w:bottom="1440" w:top="2196"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contextualSpacing w:val="0"/>
      <w:jc w:val="left"/>
      <w:rPr>
        <w:rFonts w:ascii="Arial" w:cs="Arial" w:eastAsia="Arial" w:hAnsi="Arial"/>
        <w:b w:val="0"/>
        <w:i w:val="0"/>
        <w:smallCaps w:val="0"/>
        <w:strike w:val="0"/>
        <w:color w:val="4c585a"/>
        <w:sz w:val="20"/>
        <w:szCs w:val="20"/>
        <w:u w:val="none"/>
        <w:shd w:fill="auto" w:val="clear"/>
        <w:vertAlign w:val="baseline"/>
      </w:rPr>
    </w:pPr>
    <w:r w:rsidDel="00000000" w:rsidR="00000000" w:rsidRPr="00000000">
      <w:rPr>
        <w:rFonts w:ascii="Arial" w:cs="Arial" w:eastAsia="Arial" w:hAnsi="Arial"/>
        <w:b w:val="0"/>
        <w:i w:val="0"/>
        <w:smallCaps w:val="0"/>
        <w:strike w:val="0"/>
        <w:color w:val="4c585a"/>
        <w:sz w:val="20"/>
        <w:szCs w:val="20"/>
        <w:u w:val="none"/>
        <w:shd w:fill="auto" w:val="clear"/>
        <w:vertAlign w:val="baseline"/>
        <w:rtl w:val="0"/>
      </w:rPr>
      <w:t xml:space="preserve">fiscaltransparency.net</w:t>
      <w:tab/>
      <w:tab/>
      <w:t xml:space="preserve">@FiscalTrans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2389505</wp:posOffset>
          </wp:positionH>
          <wp:positionV relativeFrom="paragraph">
            <wp:posOffset>0</wp:posOffset>
          </wp:positionV>
          <wp:extent cx="952500" cy="635000"/>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952500" cy="6350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