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9A" w:rsidRDefault="000E089A" w:rsidP="00633729">
      <w:pPr>
        <w:rPr>
          <w:b/>
          <w:sz w:val="24"/>
          <w:szCs w:val="24"/>
        </w:rPr>
      </w:pPr>
      <w:r>
        <w:rPr>
          <w:b/>
          <w:sz w:val="24"/>
          <w:szCs w:val="24"/>
        </w:rPr>
        <w:t xml:space="preserve">Comments on ‘Towards </w:t>
      </w:r>
      <w:r w:rsidR="00633729" w:rsidRPr="000F0C39">
        <w:rPr>
          <w:b/>
          <w:sz w:val="24"/>
          <w:szCs w:val="24"/>
        </w:rPr>
        <w:t xml:space="preserve">OECD </w:t>
      </w:r>
      <w:r>
        <w:rPr>
          <w:b/>
          <w:sz w:val="24"/>
          <w:szCs w:val="24"/>
        </w:rPr>
        <w:t xml:space="preserve">High-Level Principles of </w:t>
      </w:r>
      <w:r w:rsidR="00633729" w:rsidRPr="000F0C39">
        <w:rPr>
          <w:b/>
          <w:sz w:val="24"/>
          <w:szCs w:val="24"/>
        </w:rPr>
        <w:t>Budget</w:t>
      </w:r>
      <w:r>
        <w:rPr>
          <w:b/>
          <w:sz w:val="24"/>
          <w:szCs w:val="24"/>
        </w:rPr>
        <w:t>ary Governance’</w:t>
      </w:r>
    </w:p>
    <w:p w:rsidR="0006094B" w:rsidRDefault="000E089A" w:rsidP="00633729">
      <w:pPr>
        <w:rPr>
          <w:sz w:val="24"/>
          <w:szCs w:val="24"/>
        </w:rPr>
      </w:pPr>
      <w:r>
        <w:rPr>
          <w:sz w:val="24"/>
          <w:szCs w:val="24"/>
        </w:rPr>
        <w:t>T</w:t>
      </w:r>
      <w:r w:rsidR="00633729" w:rsidRPr="000F0C39">
        <w:rPr>
          <w:sz w:val="24"/>
          <w:szCs w:val="24"/>
        </w:rPr>
        <w:t xml:space="preserve">he OECD </w:t>
      </w:r>
      <w:r w:rsidR="00633729" w:rsidRPr="0080660E">
        <w:rPr>
          <w:sz w:val="24"/>
          <w:szCs w:val="24"/>
        </w:rPr>
        <w:t xml:space="preserve">has </w:t>
      </w:r>
      <w:r w:rsidR="0080660E" w:rsidRPr="0080660E">
        <w:rPr>
          <w:sz w:val="24"/>
          <w:szCs w:val="24"/>
        </w:rPr>
        <w:t>issued</w:t>
      </w:r>
      <w:r w:rsidR="0080660E">
        <w:rPr>
          <w:b/>
          <w:sz w:val="24"/>
          <w:szCs w:val="24"/>
        </w:rPr>
        <w:t xml:space="preserve"> </w:t>
      </w:r>
      <w:r w:rsidR="009C4C0E" w:rsidRPr="009C4C0E">
        <w:rPr>
          <w:sz w:val="24"/>
          <w:szCs w:val="24"/>
        </w:rPr>
        <w:t xml:space="preserve">a </w:t>
      </w:r>
      <w:r w:rsidR="00915D3A" w:rsidRPr="00915D3A">
        <w:rPr>
          <w:sz w:val="24"/>
          <w:szCs w:val="24"/>
        </w:rPr>
        <w:t xml:space="preserve">first </w:t>
      </w:r>
      <w:r w:rsidR="00413CA6">
        <w:rPr>
          <w:sz w:val="24"/>
          <w:szCs w:val="24"/>
        </w:rPr>
        <w:t>consultation draft of proposed ‘</w:t>
      </w:r>
      <w:r w:rsidR="00915D3A" w:rsidRPr="00915D3A">
        <w:rPr>
          <w:sz w:val="24"/>
          <w:szCs w:val="24"/>
        </w:rPr>
        <w:t>Principles for Budgetary Governance</w:t>
      </w:r>
      <w:r w:rsidR="00413CA6">
        <w:rPr>
          <w:sz w:val="24"/>
          <w:szCs w:val="24"/>
        </w:rPr>
        <w:t>’</w:t>
      </w:r>
      <w:r w:rsidR="00915D3A" w:rsidRPr="00915D3A">
        <w:rPr>
          <w:sz w:val="24"/>
          <w:szCs w:val="24"/>
        </w:rPr>
        <w:t xml:space="preserve"> which build</w:t>
      </w:r>
      <w:r w:rsidR="00413CA6">
        <w:rPr>
          <w:sz w:val="24"/>
          <w:szCs w:val="24"/>
        </w:rPr>
        <w:t>s</w:t>
      </w:r>
      <w:r w:rsidR="00915D3A" w:rsidRPr="00915D3A">
        <w:rPr>
          <w:sz w:val="24"/>
          <w:szCs w:val="24"/>
        </w:rPr>
        <w:t xml:space="preserve"> upon </w:t>
      </w:r>
      <w:r w:rsidR="009C4C0E">
        <w:rPr>
          <w:sz w:val="24"/>
          <w:szCs w:val="24"/>
        </w:rPr>
        <w:t>its</w:t>
      </w:r>
      <w:r w:rsidR="00915D3A" w:rsidRPr="00915D3A">
        <w:rPr>
          <w:sz w:val="24"/>
          <w:szCs w:val="24"/>
        </w:rPr>
        <w:t xml:space="preserve"> existing work on budget transparency</w:t>
      </w:r>
      <w:r w:rsidR="009C4C0E">
        <w:rPr>
          <w:sz w:val="24"/>
          <w:szCs w:val="24"/>
        </w:rPr>
        <w:t xml:space="preserve"> – principally the 2002 </w:t>
      </w:r>
      <w:r w:rsidR="0006094B">
        <w:rPr>
          <w:sz w:val="24"/>
          <w:szCs w:val="24"/>
        </w:rPr>
        <w:t xml:space="preserve">OECD </w:t>
      </w:r>
      <w:r w:rsidR="009C4C0E">
        <w:rPr>
          <w:sz w:val="24"/>
          <w:szCs w:val="24"/>
        </w:rPr>
        <w:t>Best Practices for Budget Transparency. The Principles for Budgetary Governance set</w:t>
      </w:r>
      <w:r w:rsidR="00915D3A" w:rsidRPr="00915D3A">
        <w:rPr>
          <w:sz w:val="24"/>
          <w:szCs w:val="24"/>
        </w:rPr>
        <w:t xml:space="preserve"> th</w:t>
      </w:r>
      <w:r w:rsidR="009C4C0E">
        <w:rPr>
          <w:sz w:val="24"/>
          <w:szCs w:val="24"/>
        </w:rPr>
        <w:t>e</w:t>
      </w:r>
      <w:r w:rsidR="00915D3A" w:rsidRPr="00915D3A">
        <w:rPr>
          <w:sz w:val="24"/>
          <w:szCs w:val="24"/>
        </w:rPr>
        <w:t xml:space="preserve"> topic in a broader budgetary-management context, taking account of the work of the OECD Senior Budget Officials (SBO) Working Party and related analyses over recent years. The intention is that, after consultation and revision, the </w:t>
      </w:r>
      <w:r w:rsidR="009C4C0E">
        <w:rPr>
          <w:sz w:val="24"/>
          <w:szCs w:val="24"/>
        </w:rPr>
        <w:t>P</w:t>
      </w:r>
      <w:r w:rsidR="00915D3A" w:rsidRPr="00915D3A">
        <w:rPr>
          <w:sz w:val="24"/>
          <w:szCs w:val="24"/>
        </w:rPr>
        <w:t>rinciples w</w:t>
      </w:r>
      <w:r w:rsidR="009C4C0E">
        <w:rPr>
          <w:sz w:val="24"/>
          <w:szCs w:val="24"/>
        </w:rPr>
        <w:t>ill</w:t>
      </w:r>
      <w:r w:rsidR="00915D3A" w:rsidRPr="00915D3A">
        <w:rPr>
          <w:sz w:val="24"/>
          <w:szCs w:val="24"/>
        </w:rPr>
        <w:t xml:space="preserve"> be brought to SBO for official OECD adoption</w:t>
      </w:r>
      <w:r w:rsidR="00413208">
        <w:rPr>
          <w:sz w:val="24"/>
          <w:szCs w:val="24"/>
        </w:rPr>
        <w:t xml:space="preserve"> during</w:t>
      </w:r>
      <w:r w:rsidR="009C4C0E">
        <w:rPr>
          <w:sz w:val="24"/>
          <w:szCs w:val="24"/>
        </w:rPr>
        <w:t xml:space="preserve"> 2</w:t>
      </w:r>
      <w:r w:rsidR="00915D3A" w:rsidRPr="00915D3A">
        <w:rPr>
          <w:sz w:val="24"/>
          <w:szCs w:val="24"/>
        </w:rPr>
        <w:t>014.</w:t>
      </w:r>
      <w:r w:rsidR="0006094B">
        <w:rPr>
          <w:sz w:val="24"/>
          <w:szCs w:val="24"/>
        </w:rPr>
        <w:t xml:space="preserve"> </w:t>
      </w:r>
    </w:p>
    <w:p w:rsidR="00915D3A" w:rsidRDefault="0006094B" w:rsidP="00633729">
      <w:pPr>
        <w:rPr>
          <w:sz w:val="24"/>
          <w:szCs w:val="24"/>
        </w:rPr>
      </w:pPr>
      <w:r>
        <w:rPr>
          <w:sz w:val="24"/>
          <w:szCs w:val="24"/>
        </w:rPr>
        <w:t xml:space="preserve">The OECD has expressed interest in feedback on the draft Principles from a GIFT perspective, noting that the principles were </w:t>
      </w:r>
      <w:r w:rsidRPr="0006094B">
        <w:rPr>
          <w:sz w:val="24"/>
          <w:szCs w:val="24"/>
        </w:rPr>
        <w:t xml:space="preserve">not drafted primarily with a view to alignment with </w:t>
      </w:r>
      <w:r>
        <w:rPr>
          <w:sz w:val="24"/>
          <w:szCs w:val="24"/>
        </w:rPr>
        <w:t xml:space="preserve">the </w:t>
      </w:r>
      <w:r w:rsidRPr="0006094B">
        <w:rPr>
          <w:sz w:val="24"/>
          <w:szCs w:val="24"/>
        </w:rPr>
        <w:t>GIFT</w:t>
      </w:r>
      <w:r>
        <w:rPr>
          <w:sz w:val="24"/>
          <w:szCs w:val="24"/>
        </w:rPr>
        <w:t xml:space="preserve"> High Level Principles or any other existing instrument</w:t>
      </w:r>
      <w:r w:rsidRPr="0006094B">
        <w:rPr>
          <w:sz w:val="24"/>
          <w:szCs w:val="24"/>
        </w:rPr>
        <w:t xml:space="preserve">, </w:t>
      </w:r>
      <w:r>
        <w:rPr>
          <w:sz w:val="24"/>
          <w:szCs w:val="24"/>
        </w:rPr>
        <w:t>i</w:t>
      </w:r>
      <w:r w:rsidRPr="0006094B">
        <w:rPr>
          <w:sz w:val="24"/>
          <w:szCs w:val="24"/>
        </w:rPr>
        <w:t xml:space="preserve">n the interests of generating genuinely independent principles grounded on the OECD corpus of work.  However, in keeping with the spirit of GIFT (in particular the avoidance of confusion or mixed messages to countries), </w:t>
      </w:r>
      <w:r>
        <w:rPr>
          <w:sz w:val="24"/>
          <w:szCs w:val="24"/>
        </w:rPr>
        <w:t xml:space="preserve">the OECD is </w:t>
      </w:r>
      <w:r w:rsidRPr="0006094B">
        <w:rPr>
          <w:sz w:val="24"/>
          <w:szCs w:val="24"/>
        </w:rPr>
        <w:t xml:space="preserve">now </w:t>
      </w:r>
      <w:r>
        <w:rPr>
          <w:sz w:val="24"/>
          <w:szCs w:val="24"/>
        </w:rPr>
        <w:t xml:space="preserve">looking to </w:t>
      </w:r>
      <w:r w:rsidR="00413208">
        <w:rPr>
          <w:sz w:val="24"/>
          <w:szCs w:val="24"/>
        </w:rPr>
        <w:t>incorporate</w:t>
      </w:r>
      <w:r w:rsidR="00681AF5">
        <w:rPr>
          <w:sz w:val="24"/>
          <w:szCs w:val="24"/>
        </w:rPr>
        <w:t xml:space="preserve"> alignment and coherence with other fiscal transparency norms</w:t>
      </w:r>
      <w:r w:rsidRPr="0006094B">
        <w:rPr>
          <w:sz w:val="24"/>
          <w:szCs w:val="24"/>
        </w:rPr>
        <w:t xml:space="preserve"> more directly into </w:t>
      </w:r>
      <w:r w:rsidR="00153F76">
        <w:rPr>
          <w:sz w:val="24"/>
          <w:szCs w:val="24"/>
        </w:rPr>
        <w:t>its</w:t>
      </w:r>
      <w:r w:rsidRPr="0006094B">
        <w:rPr>
          <w:sz w:val="24"/>
          <w:szCs w:val="24"/>
        </w:rPr>
        <w:t xml:space="preserve"> analysis</w:t>
      </w:r>
      <w:r w:rsidR="00153F76">
        <w:rPr>
          <w:sz w:val="24"/>
          <w:szCs w:val="24"/>
        </w:rPr>
        <w:t xml:space="preserve"> as part of</w:t>
      </w:r>
      <w:r w:rsidR="00153F76" w:rsidRPr="0006094B">
        <w:rPr>
          <w:sz w:val="24"/>
          <w:szCs w:val="24"/>
        </w:rPr>
        <w:t xml:space="preserve"> the consultation </w:t>
      </w:r>
      <w:r w:rsidR="00681AF5">
        <w:rPr>
          <w:sz w:val="24"/>
          <w:szCs w:val="24"/>
        </w:rPr>
        <w:t xml:space="preserve">and finalisation </w:t>
      </w:r>
      <w:r w:rsidR="00153F76" w:rsidRPr="0006094B">
        <w:rPr>
          <w:sz w:val="24"/>
          <w:szCs w:val="24"/>
        </w:rPr>
        <w:t>phase</w:t>
      </w:r>
      <w:r w:rsidRPr="0006094B">
        <w:rPr>
          <w:sz w:val="24"/>
          <w:szCs w:val="24"/>
        </w:rPr>
        <w:t>.</w:t>
      </w:r>
    </w:p>
    <w:p w:rsidR="00AB3903" w:rsidRPr="00AB3903" w:rsidRDefault="002C3A4D" w:rsidP="00EE63F2">
      <w:pPr>
        <w:rPr>
          <w:sz w:val="24"/>
          <w:szCs w:val="24"/>
        </w:rPr>
      </w:pPr>
      <w:r w:rsidRPr="00AB3903">
        <w:rPr>
          <w:sz w:val="24"/>
          <w:szCs w:val="24"/>
        </w:rPr>
        <w:t>This note</w:t>
      </w:r>
      <w:r w:rsidR="00AB3903" w:rsidRPr="00AB3903">
        <w:rPr>
          <w:sz w:val="24"/>
          <w:szCs w:val="24"/>
        </w:rPr>
        <w:t>:</w:t>
      </w:r>
    </w:p>
    <w:p w:rsidR="00AB3903" w:rsidRPr="00AB3903" w:rsidRDefault="00AB3903" w:rsidP="00AB3903">
      <w:pPr>
        <w:pStyle w:val="ListParagraph"/>
        <w:numPr>
          <w:ilvl w:val="0"/>
          <w:numId w:val="11"/>
        </w:numPr>
        <w:rPr>
          <w:sz w:val="24"/>
          <w:szCs w:val="24"/>
        </w:rPr>
      </w:pPr>
      <w:r w:rsidRPr="00AB3903">
        <w:rPr>
          <w:sz w:val="24"/>
          <w:szCs w:val="24"/>
        </w:rPr>
        <w:t>M</w:t>
      </w:r>
      <w:r w:rsidR="002C3A4D" w:rsidRPr="00AB3903">
        <w:rPr>
          <w:sz w:val="24"/>
          <w:szCs w:val="24"/>
        </w:rPr>
        <w:t xml:space="preserve">aps the draft OECD Principles against </w:t>
      </w:r>
      <w:r w:rsidR="00633729" w:rsidRPr="00AB3903">
        <w:rPr>
          <w:sz w:val="24"/>
          <w:szCs w:val="24"/>
        </w:rPr>
        <w:t xml:space="preserve">the </w:t>
      </w:r>
      <w:r w:rsidR="002C3A4D" w:rsidRPr="00AB3903">
        <w:rPr>
          <w:sz w:val="24"/>
          <w:szCs w:val="24"/>
        </w:rPr>
        <w:t>GIFT High Level Principles</w:t>
      </w:r>
      <w:r w:rsidR="00EE63F2" w:rsidRPr="00AB3903">
        <w:rPr>
          <w:sz w:val="24"/>
          <w:szCs w:val="24"/>
        </w:rPr>
        <w:t>.</w:t>
      </w:r>
      <w:r w:rsidR="00153F76" w:rsidRPr="00AB3903">
        <w:rPr>
          <w:rStyle w:val="FootnoteReference"/>
          <w:sz w:val="24"/>
          <w:szCs w:val="24"/>
        </w:rPr>
        <w:footnoteReference w:id="1"/>
      </w:r>
      <w:r w:rsidR="00EE63F2" w:rsidRPr="00AB3903">
        <w:rPr>
          <w:sz w:val="24"/>
          <w:szCs w:val="24"/>
        </w:rPr>
        <w:t xml:space="preserve"> </w:t>
      </w:r>
    </w:p>
    <w:p w:rsidR="00EE63F2" w:rsidRPr="00AB3903" w:rsidRDefault="00AB3903" w:rsidP="00AB3903">
      <w:pPr>
        <w:pStyle w:val="ListParagraph"/>
        <w:numPr>
          <w:ilvl w:val="0"/>
          <w:numId w:val="11"/>
        </w:numPr>
        <w:rPr>
          <w:sz w:val="24"/>
          <w:szCs w:val="24"/>
        </w:rPr>
      </w:pPr>
      <w:r w:rsidRPr="00AB3903">
        <w:rPr>
          <w:sz w:val="24"/>
          <w:szCs w:val="24"/>
        </w:rPr>
        <w:t>C</w:t>
      </w:r>
      <w:r w:rsidR="0006094B" w:rsidRPr="00AB3903">
        <w:rPr>
          <w:sz w:val="24"/>
          <w:szCs w:val="24"/>
        </w:rPr>
        <w:t>ontains some observations on the OECD Principles</w:t>
      </w:r>
      <w:r w:rsidR="00EE63F2" w:rsidRPr="00AB3903">
        <w:rPr>
          <w:sz w:val="24"/>
          <w:szCs w:val="24"/>
        </w:rPr>
        <w:t>.</w:t>
      </w:r>
    </w:p>
    <w:p w:rsidR="00AB3903" w:rsidRPr="00AB3903" w:rsidRDefault="00AB3903" w:rsidP="00AB3903">
      <w:pPr>
        <w:pStyle w:val="ListParagraph"/>
        <w:ind w:left="770"/>
        <w:rPr>
          <w:i/>
          <w:sz w:val="24"/>
          <w:szCs w:val="24"/>
        </w:rPr>
      </w:pPr>
    </w:p>
    <w:p w:rsidR="00EE63F2" w:rsidRPr="000F0C39" w:rsidRDefault="002C3A4D" w:rsidP="00EE63F2">
      <w:pPr>
        <w:pStyle w:val="ListParagraph"/>
        <w:numPr>
          <w:ilvl w:val="0"/>
          <w:numId w:val="4"/>
        </w:numPr>
        <w:rPr>
          <w:i/>
          <w:sz w:val="24"/>
          <w:szCs w:val="24"/>
        </w:rPr>
      </w:pPr>
      <w:r>
        <w:rPr>
          <w:i/>
          <w:sz w:val="24"/>
          <w:szCs w:val="24"/>
        </w:rPr>
        <w:t xml:space="preserve">Mapping </w:t>
      </w:r>
      <w:r w:rsidR="00EE63F2" w:rsidRPr="000F0C39">
        <w:rPr>
          <w:i/>
          <w:sz w:val="24"/>
          <w:szCs w:val="24"/>
        </w:rPr>
        <w:t xml:space="preserve">the </w:t>
      </w:r>
      <w:r>
        <w:rPr>
          <w:i/>
          <w:sz w:val="24"/>
          <w:szCs w:val="24"/>
        </w:rPr>
        <w:t xml:space="preserve">draft OECD High Level Principles </w:t>
      </w:r>
      <w:r w:rsidR="00EE63F2" w:rsidRPr="000F0C39">
        <w:rPr>
          <w:i/>
          <w:sz w:val="24"/>
          <w:szCs w:val="24"/>
        </w:rPr>
        <w:t>against the GIFT H</w:t>
      </w:r>
      <w:r>
        <w:rPr>
          <w:i/>
          <w:sz w:val="24"/>
          <w:szCs w:val="24"/>
        </w:rPr>
        <w:t>igh Level Principles</w:t>
      </w:r>
    </w:p>
    <w:p w:rsidR="00C50F68" w:rsidRDefault="003F0785" w:rsidP="00C50F68">
      <w:pPr>
        <w:rPr>
          <w:sz w:val="24"/>
          <w:szCs w:val="24"/>
        </w:rPr>
      </w:pPr>
      <w:r>
        <w:rPr>
          <w:sz w:val="24"/>
          <w:szCs w:val="24"/>
        </w:rPr>
        <w:t xml:space="preserve">There </w:t>
      </w:r>
      <w:r w:rsidR="00BF5F5E">
        <w:rPr>
          <w:sz w:val="24"/>
          <w:szCs w:val="24"/>
        </w:rPr>
        <w:t>are</w:t>
      </w:r>
      <w:r>
        <w:rPr>
          <w:sz w:val="24"/>
          <w:szCs w:val="24"/>
        </w:rPr>
        <w:t xml:space="preserve"> a total of </w:t>
      </w:r>
      <w:r w:rsidR="002C3A4D">
        <w:rPr>
          <w:sz w:val="24"/>
          <w:szCs w:val="24"/>
        </w:rPr>
        <w:t>35</w:t>
      </w:r>
      <w:r>
        <w:rPr>
          <w:sz w:val="24"/>
          <w:szCs w:val="24"/>
        </w:rPr>
        <w:t xml:space="preserve"> discrete elements in the </w:t>
      </w:r>
      <w:r w:rsidR="002C3A4D">
        <w:rPr>
          <w:sz w:val="24"/>
          <w:szCs w:val="24"/>
        </w:rPr>
        <w:t>OECD HLPs, orga</w:t>
      </w:r>
      <w:r w:rsidR="0092424C">
        <w:rPr>
          <w:sz w:val="24"/>
          <w:szCs w:val="24"/>
        </w:rPr>
        <w:t>ni</w:t>
      </w:r>
      <w:r w:rsidR="002C3A4D">
        <w:rPr>
          <w:sz w:val="24"/>
          <w:szCs w:val="24"/>
        </w:rPr>
        <w:t xml:space="preserve">zed into ten </w:t>
      </w:r>
      <w:r w:rsidR="0092424C">
        <w:rPr>
          <w:sz w:val="24"/>
          <w:szCs w:val="24"/>
        </w:rPr>
        <w:t>principles</w:t>
      </w:r>
      <w:r>
        <w:rPr>
          <w:sz w:val="24"/>
          <w:szCs w:val="24"/>
        </w:rPr>
        <w:t xml:space="preserve">. </w:t>
      </w:r>
      <w:r w:rsidR="00C50F68" w:rsidRPr="000F0C39">
        <w:rPr>
          <w:sz w:val="24"/>
          <w:szCs w:val="24"/>
        </w:rPr>
        <w:t xml:space="preserve">For ease of reference, the individual bullet points within each </w:t>
      </w:r>
      <w:r w:rsidR="0092424C">
        <w:rPr>
          <w:sz w:val="24"/>
          <w:szCs w:val="24"/>
        </w:rPr>
        <w:t xml:space="preserve">of the ten principles </w:t>
      </w:r>
      <w:r w:rsidR="00C50F68">
        <w:rPr>
          <w:sz w:val="24"/>
          <w:szCs w:val="24"/>
        </w:rPr>
        <w:t>have been</w:t>
      </w:r>
      <w:r w:rsidR="0092424C">
        <w:rPr>
          <w:sz w:val="24"/>
          <w:szCs w:val="24"/>
        </w:rPr>
        <w:t xml:space="preserve"> numbered</w:t>
      </w:r>
      <w:r w:rsidR="00C50F68" w:rsidRPr="000F0C39">
        <w:rPr>
          <w:sz w:val="24"/>
          <w:szCs w:val="24"/>
        </w:rPr>
        <w:t xml:space="preserve">. For example, the first bullet point under </w:t>
      </w:r>
      <w:r w:rsidR="009D0413" w:rsidRPr="00AB3903">
        <w:rPr>
          <w:i/>
          <w:sz w:val="24"/>
          <w:szCs w:val="24"/>
        </w:rPr>
        <w:t>P</w:t>
      </w:r>
      <w:r w:rsidR="0092424C" w:rsidRPr="00AB3903">
        <w:rPr>
          <w:i/>
          <w:sz w:val="24"/>
          <w:szCs w:val="24"/>
        </w:rPr>
        <w:t>rinciple 1: Fiscal policy should be managed within clear, credible and predictable limits</w:t>
      </w:r>
      <w:r w:rsidR="0092424C">
        <w:rPr>
          <w:sz w:val="24"/>
          <w:szCs w:val="24"/>
        </w:rPr>
        <w:t>, has been numbered 1.1</w:t>
      </w:r>
      <w:r w:rsidR="00C50F68" w:rsidRPr="000F0C39">
        <w:rPr>
          <w:sz w:val="24"/>
          <w:szCs w:val="24"/>
        </w:rPr>
        <w:t>.</w:t>
      </w:r>
    </w:p>
    <w:p w:rsidR="00EE63F2" w:rsidRPr="00AB3903" w:rsidRDefault="00EE63F2" w:rsidP="00EE63F2">
      <w:pPr>
        <w:rPr>
          <w:sz w:val="24"/>
          <w:szCs w:val="24"/>
        </w:rPr>
      </w:pPr>
      <w:r w:rsidRPr="000F0C39">
        <w:rPr>
          <w:sz w:val="24"/>
          <w:szCs w:val="24"/>
        </w:rPr>
        <w:t xml:space="preserve">Table 1 on page 2 shows the pattern of ‘fit’ between the </w:t>
      </w:r>
      <w:r w:rsidR="000F3AA5">
        <w:rPr>
          <w:sz w:val="24"/>
          <w:szCs w:val="24"/>
        </w:rPr>
        <w:t>draft OECD Principles</w:t>
      </w:r>
      <w:r w:rsidRPr="000F0C39">
        <w:rPr>
          <w:sz w:val="24"/>
          <w:szCs w:val="24"/>
        </w:rPr>
        <w:t xml:space="preserve"> and the </w:t>
      </w:r>
      <w:r w:rsidR="000F3AA5">
        <w:rPr>
          <w:sz w:val="24"/>
          <w:szCs w:val="24"/>
        </w:rPr>
        <w:t xml:space="preserve">ten </w:t>
      </w:r>
      <w:r w:rsidRPr="00AB3903">
        <w:rPr>
          <w:sz w:val="24"/>
          <w:szCs w:val="24"/>
        </w:rPr>
        <w:t>GIFT Principles. In brief, Table 1 shows that:</w:t>
      </w:r>
    </w:p>
    <w:p w:rsidR="00000EBC" w:rsidRPr="00AB3903" w:rsidRDefault="00502989" w:rsidP="00AB3903">
      <w:pPr>
        <w:pStyle w:val="ListParagraph"/>
        <w:numPr>
          <w:ilvl w:val="0"/>
          <w:numId w:val="1"/>
        </w:numPr>
        <w:rPr>
          <w:b/>
          <w:sz w:val="28"/>
          <w:szCs w:val="28"/>
        </w:rPr>
        <w:sectPr w:rsidR="00000EBC" w:rsidRPr="00AB3903" w:rsidSect="00633729">
          <w:footerReference w:type="default" r:id="rId9"/>
          <w:pgSz w:w="11906" w:h="16838"/>
          <w:pgMar w:top="1440" w:right="1440" w:bottom="1440" w:left="1440" w:header="708" w:footer="708" w:gutter="0"/>
          <w:cols w:space="708"/>
          <w:docGrid w:linePitch="360"/>
        </w:sectPr>
      </w:pPr>
      <w:r w:rsidRPr="00AB3903">
        <w:rPr>
          <w:sz w:val="24"/>
          <w:szCs w:val="24"/>
        </w:rPr>
        <w:t>M</w:t>
      </w:r>
      <w:r w:rsidR="003F0785" w:rsidRPr="00AB3903">
        <w:rPr>
          <w:sz w:val="24"/>
          <w:szCs w:val="24"/>
        </w:rPr>
        <w:t xml:space="preserve">ost of the provisions in the </w:t>
      </w:r>
      <w:r w:rsidR="00033ABA" w:rsidRPr="00AB3903">
        <w:rPr>
          <w:sz w:val="24"/>
          <w:szCs w:val="24"/>
        </w:rPr>
        <w:t>OECD Principles</w:t>
      </w:r>
      <w:r w:rsidR="003F0785" w:rsidRPr="00AB3903">
        <w:rPr>
          <w:sz w:val="24"/>
          <w:szCs w:val="24"/>
        </w:rPr>
        <w:t xml:space="preserve"> fall within </w:t>
      </w:r>
      <w:r w:rsidR="00033ABA" w:rsidRPr="00AB3903">
        <w:rPr>
          <w:sz w:val="24"/>
          <w:szCs w:val="24"/>
        </w:rPr>
        <w:t xml:space="preserve">GIFT </w:t>
      </w:r>
      <w:r w:rsidR="003F0785" w:rsidRPr="00AB3903">
        <w:rPr>
          <w:sz w:val="24"/>
          <w:szCs w:val="24"/>
        </w:rPr>
        <w:t>HLP 3</w:t>
      </w:r>
      <w:r w:rsidR="00C50F68" w:rsidRPr="00AB3903">
        <w:rPr>
          <w:sz w:val="24"/>
          <w:szCs w:val="24"/>
        </w:rPr>
        <w:t xml:space="preserve"> (</w:t>
      </w:r>
      <w:proofErr w:type="gramStart"/>
      <w:r w:rsidR="00C50F68" w:rsidRPr="00AB3903">
        <w:rPr>
          <w:sz w:val="24"/>
          <w:szCs w:val="24"/>
        </w:rPr>
        <w:t>‘The</w:t>
      </w:r>
      <w:proofErr w:type="gramEnd"/>
      <w:r w:rsidR="00C50F68" w:rsidRPr="00AB3903">
        <w:rPr>
          <w:sz w:val="24"/>
          <w:szCs w:val="24"/>
        </w:rPr>
        <w:t xml:space="preserve"> public should be presented with high quality financial and non-</w:t>
      </w:r>
      <w:r w:rsidR="00AB3903" w:rsidRPr="00AB3903">
        <w:rPr>
          <w:sz w:val="24"/>
          <w:szCs w:val="24"/>
        </w:rPr>
        <w:t>financial information on past, p</w:t>
      </w:r>
      <w:r w:rsidR="00C50F68" w:rsidRPr="00AB3903">
        <w:rPr>
          <w:sz w:val="24"/>
          <w:szCs w:val="24"/>
        </w:rPr>
        <w:t>resent and forecast fiscal activities….’)</w:t>
      </w:r>
      <w:r w:rsidR="00033ABA" w:rsidRPr="00AB3903">
        <w:rPr>
          <w:sz w:val="24"/>
          <w:szCs w:val="24"/>
        </w:rPr>
        <w:t xml:space="preserve">. This reflects </w:t>
      </w:r>
      <w:r w:rsidR="00C03ADE" w:rsidRPr="00AB3903">
        <w:rPr>
          <w:sz w:val="24"/>
          <w:szCs w:val="24"/>
        </w:rPr>
        <w:t xml:space="preserve">in part </w:t>
      </w:r>
      <w:r w:rsidR="00033ABA" w:rsidRPr="00AB3903">
        <w:rPr>
          <w:sz w:val="24"/>
          <w:szCs w:val="24"/>
        </w:rPr>
        <w:t xml:space="preserve">the fact </w:t>
      </w:r>
      <w:r w:rsidR="003F0785" w:rsidRPr="00AB3903">
        <w:rPr>
          <w:sz w:val="24"/>
          <w:szCs w:val="24"/>
        </w:rPr>
        <w:t xml:space="preserve">that GIFT </w:t>
      </w:r>
    </w:p>
    <w:p w:rsidR="00B3401A" w:rsidRDefault="00F22527">
      <w:pPr>
        <w:rPr>
          <w:b/>
          <w:sz w:val="28"/>
          <w:szCs w:val="28"/>
        </w:rPr>
      </w:pPr>
      <w:r w:rsidRPr="00705CDA">
        <w:rPr>
          <w:b/>
          <w:sz w:val="28"/>
          <w:szCs w:val="28"/>
        </w:rPr>
        <w:lastRenderedPageBreak/>
        <w:t>Table</w:t>
      </w:r>
      <w:r w:rsidR="00633729">
        <w:rPr>
          <w:b/>
          <w:sz w:val="28"/>
          <w:szCs w:val="28"/>
        </w:rPr>
        <w:t xml:space="preserve"> 1</w:t>
      </w:r>
      <w:r w:rsidRPr="00705CDA">
        <w:rPr>
          <w:b/>
          <w:sz w:val="28"/>
          <w:szCs w:val="28"/>
        </w:rPr>
        <w:t xml:space="preserve">: Mapping the </w:t>
      </w:r>
      <w:r w:rsidR="00681AF5">
        <w:rPr>
          <w:b/>
          <w:sz w:val="28"/>
          <w:szCs w:val="28"/>
        </w:rPr>
        <w:t xml:space="preserve">draft </w:t>
      </w:r>
      <w:r w:rsidRPr="00705CDA">
        <w:rPr>
          <w:b/>
          <w:sz w:val="28"/>
          <w:szCs w:val="28"/>
        </w:rPr>
        <w:t xml:space="preserve">OECD </w:t>
      </w:r>
      <w:r w:rsidR="00681AF5">
        <w:rPr>
          <w:b/>
          <w:sz w:val="28"/>
          <w:szCs w:val="28"/>
        </w:rPr>
        <w:t xml:space="preserve">High-Level Principles of Budgetary Governance </w:t>
      </w:r>
      <w:r w:rsidRPr="00705CDA">
        <w:rPr>
          <w:b/>
          <w:sz w:val="28"/>
          <w:szCs w:val="28"/>
        </w:rPr>
        <w:t>to the GIFT High Level Principles on Fiscal Transparency, Participation and Accountability</w:t>
      </w:r>
    </w:p>
    <w:p w:rsidR="00F22527" w:rsidRDefault="00705CDA">
      <w:r w:rsidRPr="00705CDA">
        <w:rPr>
          <w:sz w:val="24"/>
          <w:szCs w:val="24"/>
        </w:rPr>
        <w:t xml:space="preserve">Note: for ease of reference, the individual bullet points in the OECD instrument within each </w:t>
      </w:r>
      <w:r w:rsidR="00681AF5">
        <w:rPr>
          <w:sz w:val="24"/>
          <w:szCs w:val="24"/>
        </w:rPr>
        <w:t>of the ten high-level principles</w:t>
      </w:r>
      <w:r w:rsidRPr="00705CDA">
        <w:rPr>
          <w:sz w:val="24"/>
          <w:szCs w:val="24"/>
        </w:rPr>
        <w:t xml:space="preserve"> have been </w:t>
      </w:r>
      <w:r w:rsidR="000F3AA5">
        <w:rPr>
          <w:sz w:val="24"/>
          <w:szCs w:val="24"/>
        </w:rPr>
        <w:t>numbered</w:t>
      </w:r>
      <w:r w:rsidRPr="00705CDA">
        <w:rPr>
          <w:sz w:val="24"/>
          <w:szCs w:val="24"/>
        </w:rPr>
        <w:t xml:space="preserve"> e.g. the first bullet point under </w:t>
      </w:r>
      <w:r w:rsidR="000F3AA5">
        <w:rPr>
          <w:sz w:val="24"/>
          <w:szCs w:val="24"/>
        </w:rPr>
        <w:t xml:space="preserve">Principle </w:t>
      </w:r>
      <w:r w:rsidRPr="00705CDA">
        <w:rPr>
          <w:sz w:val="24"/>
          <w:szCs w:val="24"/>
        </w:rPr>
        <w:t>1</w:t>
      </w:r>
      <w:r w:rsidR="000F3AA5">
        <w:rPr>
          <w:sz w:val="24"/>
          <w:szCs w:val="24"/>
        </w:rPr>
        <w:t xml:space="preserve"> has been numbered 1.1, and so on</w:t>
      </w:r>
      <w:r w:rsidRPr="00705CDA">
        <w:rPr>
          <w:sz w:val="24"/>
          <w:szCs w:val="24"/>
        </w:rPr>
        <w:t>.</w:t>
      </w:r>
    </w:p>
    <w:tbl>
      <w:tblPr>
        <w:tblStyle w:val="TableGrid"/>
        <w:tblW w:w="0" w:type="auto"/>
        <w:tblLook w:val="04A0" w:firstRow="1" w:lastRow="0" w:firstColumn="1" w:lastColumn="0" w:noHBand="0" w:noVBand="1"/>
      </w:tblPr>
      <w:tblGrid>
        <w:gridCol w:w="1133"/>
        <w:gridCol w:w="1313"/>
        <w:gridCol w:w="1228"/>
        <w:gridCol w:w="1224"/>
        <w:gridCol w:w="1263"/>
        <w:gridCol w:w="1192"/>
        <w:gridCol w:w="1370"/>
        <w:gridCol w:w="1598"/>
        <w:gridCol w:w="1272"/>
        <w:gridCol w:w="1190"/>
        <w:gridCol w:w="1391"/>
      </w:tblGrid>
      <w:tr w:rsidR="000D2CCC" w:rsidTr="00F22527">
        <w:tc>
          <w:tcPr>
            <w:tcW w:w="1288" w:type="dxa"/>
          </w:tcPr>
          <w:p w:rsidR="00F22527" w:rsidRDefault="00F22527"/>
        </w:tc>
        <w:tc>
          <w:tcPr>
            <w:tcW w:w="1288" w:type="dxa"/>
          </w:tcPr>
          <w:p w:rsidR="00F22527" w:rsidRPr="006735CD" w:rsidRDefault="005A11D3">
            <w:pPr>
              <w:rPr>
                <w:b/>
              </w:rPr>
            </w:pPr>
            <w:r w:rsidRPr="006735CD">
              <w:rPr>
                <w:b/>
              </w:rPr>
              <w:t>HLP 1: A Right to Information</w:t>
            </w:r>
          </w:p>
        </w:tc>
        <w:tc>
          <w:tcPr>
            <w:tcW w:w="1288" w:type="dxa"/>
          </w:tcPr>
          <w:p w:rsidR="00F22527" w:rsidRPr="006735CD" w:rsidRDefault="005A11D3" w:rsidP="005A11D3">
            <w:pPr>
              <w:rPr>
                <w:b/>
              </w:rPr>
            </w:pPr>
            <w:r w:rsidRPr="006735CD">
              <w:rPr>
                <w:b/>
              </w:rPr>
              <w:t>HLP 2: Macro-fiscal policy</w:t>
            </w:r>
          </w:p>
        </w:tc>
        <w:tc>
          <w:tcPr>
            <w:tcW w:w="1288" w:type="dxa"/>
          </w:tcPr>
          <w:p w:rsidR="00F22527" w:rsidRPr="006735CD" w:rsidRDefault="005A11D3">
            <w:pPr>
              <w:rPr>
                <w:b/>
              </w:rPr>
            </w:pPr>
            <w:r w:rsidRPr="006735CD">
              <w:rPr>
                <w:b/>
              </w:rPr>
              <w:t>HLP 3: High quality data</w:t>
            </w:r>
          </w:p>
        </w:tc>
        <w:tc>
          <w:tcPr>
            <w:tcW w:w="1288" w:type="dxa"/>
          </w:tcPr>
          <w:p w:rsidR="00F22527" w:rsidRPr="006735CD" w:rsidRDefault="005A11D3" w:rsidP="006735CD">
            <w:pPr>
              <w:rPr>
                <w:b/>
              </w:rPr>
            </w:pPr>
            <w:r w:rsidRPr="006735CD">
              <w:rPr>
                <w:b/>
              </w:rPr>
              <w:t xml:space="preserve">HLP 4: </w:t>
            </w:r>
            <w:r w:rsidR="006735CD" w:rsidRPr="006735CD">
              <w:rPr>
                <w:b/>
              </w:rPr>
              <w:t>O</w:t>
            </w:r>
            <w:r w:rsidR="00B516DB" w:rsidRPr="006735CD">
              <w:rPr>
                <w:b/>
              </w:rPr>
              <w:t>utputs and outcomes</w:t>
            </w:r>
          </w:p>
        </w:tc>
        <w:tc>
          <w:tcPr>
            <w:tcW w:w="1289" w:type="dxa"/>
          </w:tcPr>
          <w:p w:rsidR="00F22527" w:rsidRPr="006735CD" w:rsidRDefault="00B516DB">
            <w:pPr>
              <w:rPr>
                <w:b/>
              </w:rPr>
            </w:pPr>
            <w:r w:rsidRPr="006735CD">
              <w:rPr>
                <w:b/>
              </w:rPr>
              <w:t>HLP 5: Rule of law</w:t>
            </w:r>
          </w:p>
        </w:tc>
        <w:tc>
          <w:tcPr>
            <w:tcW w:w="1289" w:type="dxa"/>
          </w:tcPr>
          <w:p w:rsidR="00F22527" w:rsidRPr="006735CD" w:rsidRDefault="000D2CCC">
            <w:pPr>
              <w:rPr>
                <w:b/>
              </w:rPr>
            </w:pPr>
            <w:r>
              <w:rPr>
                <w:b/>
              </w:rPr>
              <w:t>HLP 6: G</w:t>
            </w:r>
            <w:r w:rsidR="00B516DB" w:rsidRPr="006735CD">
              <w:rPr>
                <w:b/>
              </w:rPr>
              <w:t>overnment and private sector</w:t>
            </w:r>
          </w:p>
        </w:tc>
        <w:tc>
          <w:tcPr>
            <w:tcW w:w="1289" w:type="dxa"/>
          </w:tcPr>
          <w:p w:rsidR="00F22527" w:rsidRPr="006735CD" w:rsidRDefault="000D2CCC">
            <w:pPr>
              <w:rPr>
                <w:b/>
              </w:rPr>
            </w:pPr>
            <w:r>
              <w:rPr>
                <w:b/>
              </w:rPr>
              <w:t>HLP 7: C</w:t>
            </w:r>
            <w:r w:rsidR="00B516DB" w:rsidRPr="006735CD">
              <w:rPr>
                <w:b/>
              </w:rPr>
              <w:t>larity of roles and responsibilities</w:t>
            </w:r>
          </w:p>
        </w:tc>
        <w:tc>
          <w:tcPr>
            <w:tcW w:w="1289" w:type="dxa"/>
          </w:tcPr>
          <w:p w:rsidR="00F22527" w:rsidRPr="006735CD" w:rsidRDefault="00B516DB">
            <w:pPr>
              <w:rPr>
                <w:b/>
              </w:rPr>
            </w:pPr>
            <w:r w:rsidRPr="006735CD">
              <w:rPr>
                <w:b/>
              </w:rPr>
              <w:t>HLP 8: Legislative oversight</w:t>
            </w:r>
          </w:p>
        </w:tc>
        <w:tc>
          <w:tcPr>
            <w:tcW w:w="1289" w:type="dxa"/>
          </w:tcPr>
          <w:p w:rsidR="00F22527" w:rsidRPr="006735CD" w:rsidRDefault="00B516DB">
            <w:pPr>
              <w:rPr>
                <w:b/>
              </w:rPr>
            </w:pPr>
            <w:r w:rsidRPr="006735CD">
              <w:rPr>
                <w:b/>
              </w:rPr>
              <w:t>HLP 9: SAI</w:t>
            </w:r>
          </w:p>
        </w:tc>
        <w:tc>
          <w:tcPr>
            <w:tcW w:w="1289" w:type="dxa"/>
          </w:tcPr>
          <w:p w:rsidR="00F22527" w:rsidRPr="006735CD" w:rsidRDefault="00B516DB">
            <w:pPr>
              <w:rPr>
                <w:b/>
              </w:rPr>
            </w:pPr>
            <w:r w:rsidRPr="006735CD">
              <w:rPr>
                <w:b/>
              </w:rPr>
              <w:t>HLP 10: Right to direct participation</w:t>
            </w:r>
          </w:p>
        </w:tc>
      </w:tr>
      <w:tr w:rsidR="000D2CCC" w:rsidTr="00F22527">
        <w:tc>
          <w:tcPr>
            <w:tcW w:w="1288" w:type="dxa"/>
          </w:tcPr>
          <w:p w:rsidR="00F22527" w:rsidRDefault="00F22527"/>
        </w:tc>
        <w:tc>
          <w:tcPr>
            <w:tcW w:w="1288" w:type="dxa"/>
          </w:tcPr>
          <w:p w:rsidR="00F22527" w:rsidRDefault="00B516DB">
            <w:r>
              <w:t xml:space="preserve">No </w:t>
            </w:r>
            <w:r w:rsidR="009D0413">
              <w:t xml:space="preserve">explicit </w:t>
            </w:r>
            <w:r>
              <w:t>provision.</w:t>
            </w:r>
          </w:p>
          <w:p w:rsidR="00B516DB" w:rsidRDefault="00B516DB"/>
        </w:tc>
        <w:tc>
          <w:tcPr>
            <w:tcW w:w="1288" w:type="dxa"/>
          </w:tcPr>
          <w:p w:rsidR="00705CDA" w:rsidRDefault="009D0413">
            <w:r>
              <w:t>1.2</w:t>
            </w:r>
          </w:p>
          <w:p w:rsidR="009D0413" w:rsidRDefault="009D0413">
            <w:r>
              <w:t>2.1</w:t>
            </w:r>
          </w:p>
          <w:p w:rsidR="009D0413" w:rsidRDefault="009D0413">
            <w:r>
              <w:t>3.1</w:t>
            </w:r>
          </w:p>
          <w:p w:rsidR="009D0413" w:rsidRDefault="009D0413"/>
        </w:tc>
        <w:tc>
          <w:tcPr>
            <w:tcW w:w="1288" w:type="dxa"/>
          </w:tcPr>
          <w:p w:rsidR="006735CD" w:rsidRDefault="009D0413">
            <w:r>
              <w:t>4.1</w:t>
            </w:r>
          </w:p>
          <w:p w:rsidR="009D0413" w:rsidRDefault="009D0413">
            <w:r>
              <w:t>4.2</w:t>
            </w:r>
          </w:p>
          <w:p w:rsidR="009D0413" w:rsidRDefault="009D0413">
            <w:r>
              <w:t>5.1</w:t>
            </w:r>
          </w:p>
          <w:p w:rsidR="009D0413" w:rsidRDefault="009D0413">
            <w:r>
              <w:t>5.2</w:t>
            </w:r>
          </w:p>
          <w:p w:rsidR="009D0413" w:rsidRDefault="009D0413">
            <w:r>
              <w:t>5.3</w:t>
            </w:r>
          </w:p>
          <w:p w:rsidR="009D0413" w:rsidRDefault="009D0413">
            <w:r>
              <w:t>6.2</w:t>
            </w:r>
          </w:p>
          <w:p w:rsidR="009D0413" w:rsidRDefault="009D0413">
            <w:r>
              <w:t>7.1</w:t>
            </w:r>
          </w:p>
          <w:p w:rsidR="009D0413" w:rsidRDefault="009D0413">
            <w:r>
              <w:t>7.2</w:t>
            </w:r>
          </w:p>
          <w:p w:rsidR="009D0413" w:rsidRDefault="009D0413">
            <w:r>
              <w:t>7.3</w:t>
            </w:r>
          </w:p>
          <w:p w:rsidR="009D0413" w:rsidRDefault="009D0413">
            <w:r>
              <w:t>7.4</w:t>
            </w:r>
          </w:p>
          <w:p w:rsidR="009D0413" w:rsidRDefault="009D0413">
            <w:r>
              <w:t>9.1</w:t>
            </w:r>
          </w:p>
          <w:p w:rsidR="009D0413" w:rsidRDefault="009D0413">
            <w:r>
              <w:t>9.2</w:t>
            </w:r>
          </w:p>
          <w:p w:rsidR="009D0413" w:rsidRDefault="009D0413">
            <w:r>
              <w:t>9.3</w:t>
            </w:r>
          </w:p>
          <w:p w:rsidR="009D0413" w:rsidRDefault="009D0413">
            <w:r>
              <w:t>9.4</w:t>
            </w:r>
          </w:p>
          <w:p w:rsidR="009D0413" w:rsidRDefault="009D0413">
            <w:r>
              <w:t>10.4</w:t>
            </w:r>
          </w:p>
        </w:tc>
        <w:tc>
          <w:tcPr>
            <w:tcW w:w="1288" w:type="dxa"/>
          </w:tcPr>
          <w:p w:rsidR="00F22527" w:rsidRDefault="009D0413">
            <w:r>
              <w:t>3.3</w:t>
            </w:r>
          </w:p>
          <w:p w:rsidR="009D0413" w:rsidRDefault="009D0413">
            <w:r>
              <w:t>4.3</w:t>
            </w:r>
          </w:p>
          <w:p w:rsidR="009D0413" w:rsidRDefault="009D0413">
            <w:r>
              <w:t>6.4</w:t>
            </w:r>
          </w:p>
          <w:p w:rsidR="009D0413" w:rsidRDefault="009D0413">
            <w:r>
              <w:t>8.1</w:t>
            </w:r>
          </w:p>
          <w:p w:rsidR="009D0413" w:rsidRDefault="009D0413">
            <w:r>
              <w:t>8.2</w:t>
            </w:r>
          </w:p>
          <w:p w:rsidR="009D0413" w:rsidRDefault="009D0413">
            <w:r>
              <w:t>8.3</w:t>
            </w:r>
          </w:p>
          <w:p w:rsidR="009D0413" w:rsidRDefault="009D0413">
            <w:r>
              <w:t>8.4</w:t>
            </w:r>
          </w:p>
          <w:p w:rsidR="009D0413" w:rsidRDefault="009D0413">
            <w:r>
              <w:t>8.5</w:t>
            </w:r>
          </w:p>
          <w:p w:rsidR="009D0413" w:rsidRDefault="009D0413">
            <w:r>
              <w:t>10.5</w:t>
            </w:r>
          </w:p>
        </w:tc>
        <w:tc>
          <w:tcPr>
            <w:tcW w:w="1289" w:type="dxa"/>
          </w:tcPr>
          <w:p w:rsidR="00F22527" w:rsidRDefault="009D0413">
            <w:r>
              <w:t>7.1</w:t>
            </w:r>
          </w:p>
        </w:tc>
        <w:tc>
          <w:tcPr>
            <w:tcW w:w="1289" w:type="dxa"/>
          </w:tcPr>
          <w:p w:rsidR="00F22527" w:rsidRDefault="009D0413">
            <w:r>
              <w:t>7.4</w:t>
            </w:r>
          </w:p>
          <w:p w:rsidR="009D0413" w:rsidRDefault="009D0413">
            <w:r>
              <w:t>9.2</w:t>
            </w:r>
          </w:p>
        </w:tc>
        <w:tc>
          <w:tcPr>
            <w:tcW w:w="1289" w:type="dxa"/>
          </w:tcPr>
          <w:p w:rsidR="00F22527" w:rsidRDefault="009D0413">
            <w:r>
              <w:t>3.2</w:t>
            </w:r>
          </w:p>
          <w:p w:rsidR="009D0413" w:rsidRDefault="009D0413">
            <w:r>
              <w:t>10.4</w:t>
            </w:r>
          </w:p>
        </w:tc>
        <w:tc>
          <w:tcPr>
            <w:tcW w:w="1289" w:type="dxa"/>
          </w:tcPr>
          <w:p w:rsidR="006735CD" w:rsidRDefault="009D0413">
            <w:r>
              <w:t>6.3</w:t>
            </w:r>
          </w:p>
          <w:p w:rsidR="009D0413" w:rsidRDefault="009D0413"/>
        </w:tc>
        <w:tc>
          <w:tcPr>
            <w:tcW w:w="1289" w:type="dxa"/>
          </w:tcPr>
          <w:p w:rsidR="006735CD" w:rsidRDefault="009D0413">
            <w:r>
              <w:t>10.5</w:t>
            </w:r>
          </w:p>
        </w:tc>
        <w:tc>
          <w:tcPr>
            <w:tcW w:w="1289" w:type="dxa"/>
          </w:tcPr>
          <w:p w:rsidR="00F22527" w:rsidRDefault="009D0413">
            <w:r>
              <w:t>5.1</w:t>
            </w:r>
          </w:p>
          <w:p w:rsidR="009D0413" w:rsidRDefault="009D0413">
            <w:r>
              <w:t>6.1</w:t>
            </w:r>
          </w:p>
          <w:p w:rsidR="009D0413" w:rsidRDefault="009D0413">
            <w:r>
              <w:t>6.4</w:t>
            </w:r>
          </w:p>
          <w:p w:rsidR="009D0413" w:rsidRDefault="009D0413">
            <w:r>
              <w:t>10.3</w:t>
            </w:r>
          </w:p>
        </w:tc>
      </w:tr>
    </w:tbl>
    <w:p w:rsidR="00F22527" w:rsidRDefault="00F22527"/>
    <w:p w:rsidR="00EE63F2" w:rsidRDefault="00EE63F2">
      <w:pPr>
        <w:rPr>
          <w:i/>
        </w:rPr>
      </w:pPr>
      <w:r>
        <w:rPr>
          <w:i/>
        </w:rPr>
        <w:br w:type="page"/>
      </w:r>
    </w:p>
    <w:p w:rsidR="00EE63F2" w:rsidRDefault="00EE63F2">
      <w:pPr>
        <w:rPr>
          <w:i/>
        </w:rPr>
        <w:sectPr w:rsidR="00EE63F2" w:rsidSect="00633729">
          <w:type w:val="evenPage"/>
          <w:pgSz w:w="16838" w:h="11906" w:orient="landscape"/>
          <w:pgMar w:top="1440" w:right="1440" w:bottom="1440" w:left="1440" w:header="708" w:footer="708" w:gutter="0"/>
          <w:cols w:space="708"/>
          <w:docGrid w:linePitch="360"/>
        </w:sectPr>
      </w:pPr>
    </w:p>
    <w:p w:rsidR="00502989" w:rsidRDefault="00502989" w:rsidP="00502989">
      <w:pPr>
        <w:pStyle w:val="ListParagraph"/>
        <w:rPr>
          <w:sz w:val="24"/>
          <w:szCs w:val="24"/>
        </w:rPr>
      </w:pPr>
      <w:r w:rsidRPr="00502989">
        <w:rPr>
          <w:sz w:val="24"/>
          <w:szCs w:val="24"/>
        </w:rPr>
        <w:lastRenderedPageBreak/>
        <w:t xml:space="preserve">HLP 3 </w:t>
      </w:r>
      <w:r w:rsidR="00AB3903">
        <w:rPr>
          <w:sz w:val="24"/>
          <w:szCs w:val="24"/>
        </w:rPr>
        <w:t xml:space="preserve">has a </w:t>
      </w:r>
      <w:r w:rsidR="00483B7C">
        <w:rPr>
          <w:sz w:val="24"/>
          <w:szCs w:val="24"/>
        </w:rPr>
        <w:t xml:space="preserve">relatively </w:t>
      </w:r>
      <w:r w:rsidR="00AB3903">
        <w:rPr>
          <w:sz w:val="24"/>
          <w:szCs w:val="24"/>
        </w:rPr>
        <w:t xml:space="preserve">wide coverage </w:t>
      </w:r>
      <w:r w:rsidRPr="00502989">
        <w:rPr>
          <w:sz w:val="24"/>
          <w:szCs w:val="24"/>
        </w:rPr>
        <w:t xml:space="preserve">in the set of ten GIFT HLPs; it was also the case with </w:t>
      </w:r>
      <w:r>
        <w:rPr>
          <w:sz w:val="24"/>
          <w:szCs w:val="24"/>
        </w:rPr>
        <w:t>the 2002 OECD Best Practices.</w:t>
      </w:r>
    </w:p>
    <w:p w:rsidR="00053B37" w:rsidRDefault="00C50F68" w:rsidP="00C50F68">
      <w:pPr>
        <w:pStyle w:val="ListParagraph"/>
        <w:numPr>
          <w:ilvl w:val="0"/>
          <w:numId w:val="1"/>
        </w:numPr>
        <w:rPr>
          <w:sz w:val="24"/>
          <w:szCs w:val="24"/>
        </w:rPr>
      </w:pPr>
      <w:r>
        <w:rPr>
          <w:sz w:val="24"/>
          <w:szCs w:val="24"/>
        </w:rPr>
        <w:t xml:space="preserve">The </w:t>
      </w:r>
      <w:r w:rsidR="00053B37">
        <w:rPr>
          <w:sz w:val="24"/>
          <w:szCs w:val="24"/>
        </w:rPr>
        <w:t xml:space="preserve">draft </w:t>
      </w:r>
      <w:r w:rsidR="00033ABA">
        <w:rPr>
          <w:sz w:val="24"/>
          <w:szCs w:val="24"/>
        </w:rPr>
        <w:t xml:space="preserve">OECD Principles </w:t>
      </w:r>
      <w:r>
        <w:rPr>
          <w:sz w:val="24"/>
          <w:szCs w:val="24"/>
        </w:rPr>
        <w:t xml:space="preserve">contain </w:t>
      </w:r>
      <w:r w:rsidR="00053B37">
        <w:rPr>
          <w:sz w:val="24"/>
          <w:szCs w:val="24"/>
        </w:rPr>
        <w:t xml:space="preserve">a substantial number of provisions relating to the </w:t>
      </w:r>
      <w:r w:rsidR="00483B7C">
        <w:rPr>
          <w:sz w:val="24"/>
          <w:szCs w:val="24"/>
        </w:rPr>
        <w:t>micro-</w:t>
      </w:r>
      <w:r w:rsidR="00053B37">
        <w:rPr>
          <w:sz w:val="24"/>
          <w:szCs w:val="24"/>
        </w:rPr>
        <w:t xml:space="preserve">effectiveness and performance of government spending – in contrast to the 2002 </w:t>
      </w:r>
      <w:r w:rsidR="00502989">
        <w:rPr>
          <w:sz w:val="24"/>
          <w:szCs w:val="24"/>
        </w:rPr>
        <w:t>B</w:t>
      </w:r>
      <w:r w:rsidR="00053B37">
        <w:rPr>
          <w:sz w:val="24"/>
          <w:szCs w:val="24"/>
        </w:rPr>
        <w:t>est Practices, which contained litt</w:t>
      </w:r>
      <w:r w:rsidR="00483B7C">
        <w:rPr>
          <w:sz w:val="24"/>
          <w:szCs w:val="24"/>
        </w:rPr>
        <w:t xml:space="preserve">le in this regard. For example, in addition to Principle 8 (with five discrete provisions), four other principles contain provisions in this </w:t>
      </w:r>
      <w:r w:rsidR="00BF5F5E">
        <w:rPr>
          <w:sz w:val="24"/>
          <w:szCs w:val="24"/>
        </w:rPr>
        <w:t>area</w:t>
      </w:r>
      <w:r w:rsidR="00483B7C">
        <w:rPr>
          <w:sz w:val="24"/>
          <w:szCs w:val="24"/>
        </w:rPr>
        <w:t>.</w:t>
      </w:r>
      <w:r w:rsidR="00BF5F5E">
        <w:rPr>
          <w:sz w:val="24"/>
          <w:szCs w:val="24"/>
        </w:rPr>
        <w:t xml:space="preserve"> These relate to GIFT HLP 4.</w:t>
      </w:r>
    </w:p>
    <w:p w:rsidR="00C50F68" w:rsidRDefault="00053B37" w:rsidP="00C50F68">
      <w:pPr>
        <w:pStyle w:val="ListParagraph"/>
        <w:numPr>
          <w:ilvl w:val="0"/>
          <w:numId w:val="1"/>
        </w:numPr>
        <w:rPr>
          <w:sz w:val="24"/>
          <w:szCs w:val="24"/>
        </w:rPr>
      </w:pPr>
      <w:r>
        <w:rPr>
          <w:sz w:val="24"/>
          <w:szCs w:val="24"/>
        </w:rPr>
        <w:t xml:space="preserve">The draft Principles also contain </w:t>
      </w:r>
      <w:r w:rsidR="00C50F68">
        <w:rPr>
          <w:sz w:val="24"/>
          <w:szCs w:val="24"/>
        </w:rPr>
        <w:t>a number of provisions relating to transparency of macro-fiscal policy</w:t>
      </w:r>
      <w:r>
        <w:rPr>
          <w:sz w:val="24"/>
          <w:szCs w:val="24"/>
        </w:rPr>
        <w:t xml:space="preserve"> (as did the 2002 Best Practices)</w:t>
      </w:r>
      <w:r w:rsidR="00BF5F5E">
        <w:rPr>
          <w:sz w:val="24"/>
          <w:szCs w:val="24"/>
        </w:rPr>
        <w:t xml:space="preserve"> – relating to GIFT HLP 2</w:t>
      </w:r>
      <w:r w:rsidR="00C50F68">
        <w:rPr>
          <w:sz w:val="24"/>
          <w:szCs w:val="24"/>
        </w:rPr>
        <w:t xml:space="preserve">. </w:t>
      </w:r>
    </w:p>
    <w:p w:rsidR="00502989" w:rsidRPr="00502989" w:rsidRDefault="00502989" w:rsidP="00502989">
      <w:pPr>
        <w:pStyle w:val="ListParagraph"/>
        <w:numPr>
          <w:ilvl w:val="0"/>
          <w:numId w:val="1"/>
        </w:numPr>
        <w:rPr>
          <w:sz w:val="24"/>
          <w:szCs w:val="24"/>
        </w:rPr>
      </w:pPr>
      <w:r>
        <w:rPr>
          <w:sz w:val="24"/>
          <w:szCs w:val="24"/>
        </w:rPr>
        <w:t>The draft Principles contain four explicit elements relating to a public right to direct participation in fiscal policy-making and implementation (</w:t>
      </w:r>
      <w:r w:rsidR="00BF5F5E">
        <w:rPr>
          <w:sz w:val="24"/>
          <w:szCs w:val="24"/>
        </w:rPr>
        <w:t xml:space="preserve">GIFT </w:t>
      </w:r>
      <w:r>
        <w:rPr>
          <w:sz w:val="24"/>
          <w:szCs w:val="24"/>
        </w:rPr>
        <w:t xml:space="preserve">HLP 10) - in contrast to the 2002 OECD Best Practices, which contained no explicit provisions in this area.  </w:t>
      </w:r>
    </w:p>
    <w:p w:rsidR="00033ABA" w:rsidRDefault="00502989" w:rsidP="00781EB6">
      <w:pPr>
        <w:pStyle w:val="ListParagraph"/>
        <w:numPr>
          <w:ilvl w:val="0"/>
          <w:numId w:val="1"/>
        </w:numPr>
        <w:rPr>
          <w:sz w:val="24"/>
          <w:szCs w:val="24"/>
        </w:rPr>
      </w:pPr>
      <w:r>
        <w:rPr>
          <w:sz w:val="24"/>
          <w:szCs w:val="24"/>
        </w:rPr>
        <w:t>As with the 2002 Best Practices, t</w:t>
      </w:r>
      <w:r w:rsidR="00C50F68">
        <w:rPr>
          <w:sz w:val="24"/>
          <w:szCs w:val="24"/>
        </w:rPr>
        <w:t xml:space="preserve">here are no provisions in the </w:t>
      </w:r>
      <w:r w:rsidR="008F0C5A">
        <w:rPr>
          <w:sz w:val="24"/>
          <w:szCs w:val="24"/>
        </w:rPr>
        <w:t xml:space="preserve">draft principles </w:t>
      </w:r>
      <w:r w:rsidR="00C50F68">
        <w:rPr>
          <w:sz w:val="24"/>
          <w:szCs w:val="24"/>
        </w:rPr>
        <w:t xml:space="preserve">that </w:t>
      </w:r>
      <w:r>
        <w:rPr>
          <w:sz w:val="24"/>
          <w:szCs w:val="24"/>
        </w:rPr>
        <w:t xml:space="preserve">explicitly </w:t>
      </w:r>
      <w:r w:rsidR="00C50F68">
        <w:rPr>
          <w:sz w:val="24"/>
          <w:szCs w:val="24"/>
        </w:rPr>
        <w:t xml:space="preserve">reflect </w:t>
      </w:r>
      <w:r>
        <w:rPr>
          <w:sz w:val="24"/>
          <w:szCs w:val="24"/>
        </w:rPr>
        <w:t>a</w:t>
      </w:r>
      <w:r w:rsidR="00033ABA">
        <w:rPr>
          <w:sz w:val="24"/>
          <w:szCs w:val="24"/>
        </w:rPr>
        <w:t xml:space="preserve"> public</w:t>
      </w:r>
      <w:r w:rsidR="00C50F68">
        <w:rPr>
          <w:sz w:val="24"/>
          <w:szCs w:val="24"/>
        </w:rPr>
        <w:t xml:space="preserve"> right</w:t>
      </w:r>
      <w:r w:rsidR="00B02F81">
        <w:rPr>
          <w:sz w:val="24"/>
          <w:szCs w:val="24"/>
        </w:rPr>
        <w:t xml:space="preserve"> to fiscal information (</w:t>
      </w:r>
      <w:r w:rsidR="00BF5F5E">
        <w:rPr>
          <w:sz w:val="24"/>
          <w:szCs w:val="24"/>
        </w:rPr>
        <w:t xml:space="preserve">GIFT </w:t>
      </w:r>
      <w:r w:rsidR="00B02F81">
        <w:rPr>
          <w:sz w:val="24"/>
          <w:szCs w:val="24"/>
        </w:rPr>
        <w:t>HLP 1)</w:t>
      </w:r>
      <w:r w:rsidR="008F0C5A">
        <w:rPr>
          <w:sz w:val="24"/>
          <w:szCs w:val="24"/>
        </w:rPr>
        <w:t xml:space="preserve"> – although a public right is hinted at in the two references to the budget being a contract between citizens and the state (in 7.1</w:t>
      </w:r>
      <w:r>
        <w:rPr>
          <w:sz w:val="24"/>
          <w:szCs w:val="24"/>
        </w:rPr>
        <w:t>,</w:t>
      </w:r>
      <w:r w:rsidR="008F0C5A">
        <w:rPr>
          <w:sz w:val="24"/>
          <w:szCs w:val="24"/>
        </w:rPr>
        <w:t xml:space="preserve"> and in the opening paragraph of the Introduction).</w:t>
      </w:r>
    </w:p>
    <w:p w:rsidR="007F163D" w:rsidRDefault="00033ABA" w:rsidP="00033ABA">
      <w:pPr>
        <w:pStyle w:val="ListParagraph"/>
        <w:numPr>
          <w:ilvl w:val="0"/>
          <w:numId w:val="1"/>
        </w:numPr>
        <w:rPr>
          <w:sz w:val="24"/>
          <w:szCs w:val="24"/>
        </w:rPr>
      </w:pPr>
      <w:r>
        <w:rPr>
          <w:sz w:val="24"/>
          <w:szCs w:val="24"/>
        </w:rPr>
        <w:t xml:space="preserve">In contrast to the 2002 OECD Best Practices, which were silent </w:t>
      </w:r>
      <w:r w:rsidR="00C50F68" w:rsidRPr="007F163D">
        <w:rPr>
          <w:sz w:val="24"/>
          <w:szCs w:val="24"/>
        </w:rPr>
        <w:t>on relat</w:t>
      </w:r>
      <w:r w:rsidR="007F163D">
        <w:rPr>
          <w:sz w:val="24"/>
          <w:szCs w:val="24"/>
        </w:rPr>
        <w:t>ionships between the government</w:t>
      </w:r>
      <w:r>
        <w:rPr>
          <w:sz w:val="24"/>
          <w:szCs w:val="24"/>
        </w:rPr>
        <w:t xml:space="preserve"> and the private sector, </w:t>
      </w:r>
      <w:r w:rsidR="009A5616">
        <w:rPr>
          <w:sz w:val="24"/>
          <w:szCs w:val="24"/>
        </w:rPr>
        <w:t xml:space="preserve">the draft Principles </w:t>
      </w:r>
      <w:r w:rsidR="0024603F">
        <w:rPr>
          <w:sz w:val="24"/>
          <w:szCs w:val="24"/>
        </w:rPr>
        <w:t>contain</w:t>
      </w:r>
      <w:r w:rsidR="009A5616">
        <w:rPr>
          <w:sz w:val="24"/>
          <w:szCs w:val="24"/>
        </w:rPr>
        <w:t>s</w:t>
      </w:r>
      <w:r w:rsidR="0024603F">
        <w:rPr>
          <w:sz w:val="24"/>
          <w:szCs w:val="24"/>
        </w:rPr>
        <w:t xml:space="preserve"> two elements in this area</w:t>
      </w:r>
      <w:r w:rsidR="005D4D86">
        <w:rPr>
          <w:sz w:val="24"/>
          <w:szCs w:val="24"/>
        </w:rPr>
        <w:t xml:space="preserve"> (7.4 and 9.2)</w:t>
      </w:r>
      <w:r w:rsidR="00BF5F5E">
        <w:rPr>
          <w:sz w:val="24"/>
          <w:szCs w:val="24"/>
        </w:rPr>
        <w:t>, relating to GIFT HLP 6</w:t>
      </w:r>
      <w:r w:rsidR="0024603F">
        <w:rPr>
          <w:sz w:val="24"/>
          <w:szCs w:val="24"/>
        </w:rPr>
        <w:t>.</w:t>
      </w:r>
    </w:p>
    <w:p w:rsidR="00BB0C50" w:rsidRDefault="00BB0C50" w:rsidP="007F163D">
      <w:pPr>
        <w:pStyle w:val="ListParagraph"/>
        <w:numPr>
          <w:ilvl w:val="0"/>
          <w:numId w:val="1"/>
        </w:numPr>
        <w:rPr>
          <w:sz w:val="24"/>
          <w:szCs w:val="24"/>
        </w:rPr>
      </w:pPr>
      <w:r>
        <w:rPr>
          <w:sz w:val="24"/>
          <w:szCs w:val="24"/>
        </w:rPr>
        <w:t>Areas where t</w:t>
      </w:r>
      <w:r w:rsidR="007D3FC6" w:rsidRPr="00BF252C">
        <w:rPr>
          <w:sz w:val="24"/>
          <w:szCs w:val="24"/>
        </w:rPr>
        <w:t xml:space="preserve">he </w:t>
      </w:r>
      <w:r w:rsidR="00B17696" w:rsidRPr="00BF252C">
        <w:rPr>
          <w:sz w:val="24"/>
          <w:szCs w:val="24"/>
        </w:rPr>
        <w:t>draft Principles contain</w:t>
      </w:r>
      <w:r>
        <w:rPr>
          <w:sz w:val="24"/>
          <w:szCs w:val="24"/>
        </w:rPr>
        <w:t xml:space="preserve"> only limited provisions include:</w:t>
      </w:r>
    </w:p>
    <w:p w:rsidR="00B9075E" w:rsidRDefault="00BB0C50" w:rsidP="00BB0C50">
      <w:pPr>
        <w:pStyle w:val="ListParagraph"/>
        <w:numPr>
          <w:ilvl w:val="1"/>
          <w:numId w:val="1"/>
        </w:numPr>
        <w:rPr>
          <w:sz w:val="24"/>
          <w:szCs w:val="24"/>
        </w:rPr>
      </w:pPr>
      <w:r w:rsidRPr="00B9075E">
        <w:rPr>
          <w:sz w:val="24"/>
          <w:szCs w:val="24"/>
        </w:rPr>
        <w:t>Legislative oversight of fiscal policy</w:t>
      </w:r>
      <w:r w:rsidR="00BF5F5E" w:rsidRPr="00B9075E">
        <w:rPr>
          <w:sz w:val="24"/>
          <w:szCs w:val="24"/>
        </w:rPr>
        <w:t xml:space="preserve"> (GIFT HLP 8)</w:t>
      </w:r>
      <w:r w:rsidRPr="00B9075E">
        <w:rPr>
          <w:sz w:val="24"/>
          <w:szCs w:val="24"/>
        </w:rPr>
        <w:t>. In fact the incorporation of the legislature in Principle 6 (‘the budget process should be inclusive, participatory and realistic’) alongside the role of citizens seems to downplay the importance of the legislature’s formal role in being required to authorise any and all taxation and spending, and to hold the executive directly to account for its management of public resources.</w:t>
      </w:r>
      <w:r w:rsidR="00B9075E" w:rsidRPr="00B9075E">
        <w:rPr>
          <w:sz w:val="24"/>
          <w:szCs w:val="24"/>
        </w:rPr>
        <w:t xml:space="preserve"> </w:t>
      </w:r>
    </w:p>
    <w:p w:rsidR="00BB0C50" w:rsidRPr="00B9075E" w:rsidRDefault="00BB0C50" w:rsidP="00BB0C50">
      <w:pPr>
        <w:pStyle w:val="ListParagraph"/>
        <w:numPr>
          <w:ilvl w:val="1"/>
          <w:numId w:val="1"/>
        </w:numPr>
        <w:rPr>
          <w:sz w:val="24"/>
          <w:szCs w:val="24"/>
        </w:rPr>
      </w:pPr>
      <w:r w:rsidRPr="00B9075E">
        <w:rPr>
          <w:sz w:val="24"/>
          <w:szCs w:val="24"/>
        </w:rPr>
        <w:t>The role of the Supreme Audit Institution (GIFT HLP 9</w:t>
      </w:r>
      <w:r w:rsidR="00BF5F5E" w:rsidRPr="00B9075E">
        <w:rPr>
          <w:sz w:val="24"/>
          <w:szCs w:val="24"/>
        </w:rPr>
        <w:t>)</w:t>
      </w:r>
      <w:r w:rsidRPr="00B9075E">
        <w:rPr>
          <w:sz w:val="24"/>
          <w:szCs w:val="24"/>
        </w:rPr>
        <w:t xml:space="preserve"> </w:t>
      </w:r>
      <w:r w:rsidR="00BF5F5E" w:rsidRPr="00B9075E">
        <w:rPr>
          <w:sz w:val="24"/>
          <w:szCs w:val="24"/>
        </w:rPr>
        <w:t xml:space="preserve">is </w:t>
      </w:r>
      <w:r w:rsidRPr="00B9075E">
        <w:rPr>
          <w:sz w:val="24"/>
          <w:szCs w:val="24"/>
        </w:rPr>
        <w:t xml:space="preserve">covered </w:t>
      </w:r>
      <w:r w:rsidR="009A5616" w:rsidRPr="00B9075E">
        <w:rPr>
          <w:sz w:val="24"/>
          <w:szCs w:val="24"/>
        </w:rPr>
        <w:t xml:space="preserve">only </w:t>
      </w:r>
      <w:r w:rsidRPr="00B9075E">
        <w:rPr>
          <w:sz w:val="24"/>
          <w:szCs w:val="24"/>
        </w:rPr>
        <w:t>in 10.5, whi</w:t>
      </w:r>
      <w:r w:rsidR="00BF5F5E" w:rsidRPr="00B9075E">
        <w:rPr>
          <w:sz w:val="24"/>
          <w:szCs w:val="24"/>
        </w:rPr>
        <w:t>ch also covers internal control</w:t>
      </w:r>
      <w:r w:rsidRPr="00B9075E">
        <w:rPr>
          <w:sz w:val="24"/>
          <w:szCs w:val="24"/>
        </w:rPr>
        <w:t>.</w:t>
      </w:r>
    </w:p>
    <w:p w:rsidR="00BB0C50" w:rsidRDefault="00BB0C50" w:rsidP="00BB0C50">
      <w:pPr>
        <w:pStyle w:val="ListParagraph"/>
        <w:numPr>
          <w:ilvl w:val="1"/>
          <w:numId w:val="1"/>
        </w:numPr>
        <w:rPr>
          <w:sz w:val="24"/>
          <w:szCs w:val="24"/>
        </w:rPr>
      </w:pPr>
      <w:r>
        <w:rPr>
          <w:sz w:val="24"/>
          <w:szCs w:val="24"/>
        </w:rPr>
        <w:t>T</w:t>
      </w:r>
      <w:r w:rsidR="007D3FC6" w:rsidRPr="00BF252C">
        <w:rPr>
          <w:sz w:val="24"/>
          <w:szCs w:val="24"/>
        </w:rPr>
        <w:t xml:space="preserve">he overall legal framework for </w:t>
      </w:r>
      <w:r w:rsidR="007F163D" w:rsidRPr="00BF252C">
        <w:rPr>
          <w:sz w:val="24"/>
          <w:szCs w:val="24"/>
        </w:rPr>
        <w:t>PFM</w:t>
      </w:r>
      <w:r w:rsidR="007D3FC6" w:rsidRPr="00BF252C">
        <w:rPr>
          <w:sz w:val="24"/>
          <w:szCs w:val="24"/>
        </w:rPr>
        <w:t xml:space="preserve"> (GIFT HLP 5)</w:t>
      </w:r>
      <w:r>
        <w:rPr>
          <w:sz w:val="24"/>
          <w:szCs w:val="24"/>
        </w:rPr>
        <w:t>.</w:t>
      </w:r>
    </w:p>
    <w:p w:rsidR="00EE63F2" w:rsidRPr="00BB0C50" w:rsidRDefault="00BB0C50" w:rsidP="00BB0C50">
      <w:pPr>
        <w:pStyle w:val="ListParagraph"/>
        <w:numPr>
          <w:ilvl w:val="1"/>
          <w:numId w:val="1"/>
        </w:numPr>
        <w:rPr>
          <w:sz w:val="24"/>
          <w:szCs w:val="24"/>
        </w:rPr>
      </w:pPr>
      <w:r>
        <w:rPr>
          <w:sz w:val="24"/>
          <w:szCs w:val="24"/>
        </w:rPr>
        <w:t>C</w:t>
      </w:r>
      <w:r w:rsidR="007D3FC6" w:rsidRPr="00BF252C">
        <w:rPr>
          <w:sz w:val="24"/>
          <w:szCs w:val="24"/>
        </w:rPr>
        <w:t>larity of roles f</w:t>
      </w:r>
      <w:r w:rsidR="00053B37" w:rsidRPr="00BF252C">
        <w:rPr>
          <w:sz w:val="24"/>
          <w:szCs w:val="24"/>
        </w:rPr>
        <w:t>or fiscal management (GIFT HLP 7</w:t>
      </w:r>
      <w:r w:rsidR="007D3FC6" w:rsidRPr="00BF252C">
        <w:rPr>
          <w:sz w:val="24"/>
          <w:szCs w:val="24"/>
        </w:rPr>
        <w:t>)</w:t>
      </w:r>
      <w:r>
        <w:rPr>
          <w:sz w:val="24"/>
          <w:szCs w:val="24"/>
        </w:rPr>
        <w:br/>
      </w:r>
    </w:p>
    <w:p w:rsidR="006735CD" w:rsidRPr="000F0C39" w:rsidRDefault="006D49CF" w:rsidP="001C4E51">
      <w:pPr>
        <w:pStyle w:val="ListParagraph"/>
        <w:numPr>
          <w:ilvl w:val="0"/>
          <w:numId w:val="4"/>
        </w:numPr>
        <w:rPr>
          <w:i/>
          <w:sz w:val="24"/>
          <w:szCs w:val="24"/>
        </w:rPr>
      </w:pPr>
      <w:r w:rsidRPr="000F0C39">
        <w:rPr>
          <w:i/>
          <w:sz w:val="24"/>
          <w:szCs w:val="24"/>
        </w:rPr>
        <w:t xml:space="preserve">Some observations on the OECD </w:t>
      </w:r>
      <w:r w:rsidR="00681AF5">
        <w:rPr>
          <w:i/>
          <w:sz w:val="24"/>
          <w:szCs w:val="24"/>
        </w:rPr>
        <w:t>High-Level Principles</w:t>
      </w:r>
    </w:p>
    <w:p w:rsidR="00681AF5" w:rsidRDefault="00681AF5" w:rsidP="00681AF5">
      <w:pPr>
        <w:ind w:left="360"/>
        <w:rPr>
          <w:sz w:val="24"/>
          <w:szCs w:val="24"/>
        </w:rPr>
      </w:pPr>
      <w:r w:rsidRPr="00681AF5">
        <w:rPr>
          <w:sz w:val="24"/>
          <w:szCs w:val="24"/>
        </w:rPr>
        <w:t xml:space="preserve">It appears that, as with the GIFT High Level Principles, the </w:t>
      </w:r>
      <w:r w:rsidR="005D34A3">
        <w:rPr>
          <w:sz w:val="24"/>
          <w:szCs w:val="24"/>
        </w:rPr>
        <w:t xml:space="preserve">draft </w:t>
      </w:r>
      <w:r w:rsidRPr="00681AF5">
        <w:rPr>
          <w:sz w:val="24"/>
          <w:szCs w:val="24"/>
        </w:rPr>
        <w:t>OECD High Level Principles are intended to sit above more detailed principles and recommendations</w:t>
      </w:r>
      <w:r w:rsidR="005D34A3">
        <w:rPr>
          <w:sz w:val="24"/>
          <w:szCs w:val="24"/>
        </w:rPr>
        <w:t xml:space="preserve"> </w:t>
      </w:r>
      <w:r w:rsidR="005D34A3" w:rsidRPr="00681AF5">
        <w:rPr>
          <w:sz w:val="24"/>
          <w:szCs w:val="24"/>
        </w:rPr>
        <w:t xml:space="preserve">on specific elements of </w:t>
      </w:r>
      <w:r w:rsidR="005D34A3">
        <w:rPr>
          <w:sz w:val="24"/>
          <w:szCs w:val="24"/>
        </w:rPr>
        <w:t>the overall budgeting framework</w:t>
      </w:r>
      <w:r w:rsidR="005D34A3" w:rsidRPr="00681AF5">
        <w:rPr>
          <w:sz w:val="24"/>
          <w:szCs w:val="24"/>
        </w:rPr>
        <w:t xml:space="preserve"> </w:t>
      </w:r>
      <w:r w:rsidR="005D34A3">
        <w:rPr>
          <w:sz w:val="24"/>
          <w:szCs w:val="24"/>
        </w:rPr>
        <w:t>(see last paragraph of the Introduction to the Principles)</w:t>
      </w:r>
      <w:r w:rsidR="00D4553A">
        <w:rPr>
          <w:sz w:val="24"/>
          <w:szCs w:val="24"/>
        </w:rPr>
        <w:t xml:space="preserve"> – although they are relatively detailed in some areas for a statement of high level principles</w:t>
      </w:r>
      <w:r w:rsidR="005D34A3">
        <w:rPr>
          <w:sz w:val="24"/>
          <w:szCs w:val="24"/>
        </w:rPr>
        <w:t xml:space="preserve">. It is not clear, however, whether it is intended that all the OECD’s existing </w:t>
      </w:r>
      <w:r w:rsidR="009D079B">
        <w:rPr>
          <w:sz w:val="24"/>
          <w:szCs w:val="24"/>
        </w:rPr>
        <w:t xml:space="preserve">detailed </w:t>
      </w:r>
      <w:r w:rsidR="005D34A3">
        <w:rPr>
          <w:sz w:val="24"/>
          <w:szCs w:val="24"/>
        </w:rPr>
        <w:t xml:space="preserve">normative instruments </w:t>
      </w:r>
      <w:r w:rsidR="00FE0624">
        <w:rPr>
          <w:sz w:val="24"/>
          <w:szCs w:val="24"/>
        </w:rPr>
        <w:t xml:space="preserve">on budgeting </w:t>
      </w:r>
      <w:r w:rsidR="00BF5F5E">
        <w:rPr>
          <w:sz w:val="24"/>
          <w:szCs w:val="24"/>
        </w:rPr>
        <w:t>and</w:t>
      </w:r>
      <w:r w:rsidR="009A5616">
        <w:rPr>
          <w:sz w:val="24"/>
          <w:szCs w:val="24"/>
        </w:rPr>
        <w:t xml:space="preserve"> public financial management </w:t>
      </w:r>
      <w:r w:rsidR="005D34A3">
        <w:rPr>
          <w:sz w:val="24"/>
          <w:szCs w:val="24"/>
        </w:rPr>
        <w:t>will be ‘nested’ under the High</w:t>
      </w:r>
      <w:r w:rsidR="00FE0624">
        <w:rPr>
          <w:sz w:val="24"/>
          <w:szCs w:val="24"/>
        </w:rPr>
        <w:t>-</w:t>
      </w:r>
      <w:r w:rsidR="005D34A3">
        <w:rPr>
          <w:sz w:val="24"/>
          <w:szCs w:val="24"/>
        </w:rPr>
        <w:t xml:space="preserve">Level Principles, or </w:t>
      </w:r>
      <w:r w:rsidR="00FE0624">
        <w:rPr>
          <w:sz w:val="24"/>
          <w:szCs w:val="24"/>
        </w:rPr>
        <w:t>whether/</w:t>
      </w:r>
      <w:r w:rsidR="005D34A3">
        <w:rPr>
          <w:sz w:val="24"/>
          <w:szCs w:val="24"/>
        </w:rPr>
        <w:t>how the High</w:t>
      </w:r>
      <w:r w:rsidR="00FE0624">
        <w:rPr>
          <w:sz w:val="24"/>
          <w:szCs w:val="24"/>
        </w:rPr>
        <w:t>-</w:t>
      </w:r>
      <w:r w:rsidR="005D34A3">
        <w:rPr>
          <w:sz w:val="24"/>
          <w:szCs w:val="24"/>
        </w:rPr>
        <w:t xml:space="preserve">Level Principles will </w:t>
      </w:r>
      <w:r w:rsidR="009D079B">
        <w:rPr>
          <w:sz w:val="24"/>
          <w:szCs w:val="24"/>
        </w:rPr>
        <w:t xml:space="preserve">guide the architecture of the OECD’s work in this field. It does not </w:t>
      </w:r>
      <w:r w:rsidR="009D079B">
        <w:rPr>
          <w:sz w:val="24"/>
          <w:szCs w:val="24"/>
        </w:rPr>
        <w:lastRenderedPageBreak/>
        <w:t xml:space="preserve">appear that the Principles have been drafted with the intention of </w:t>
      </w:r>
      <w:r w:rsidR="00FE0624">
        <w:rPr>
          <w:sz w:val="24"/>
          <w:szCs w:val="24"/>
        </w:rPr>
        <w:t>providing an organising framework for the existing set of</w:t>
      </w:r>
      <w:r w:rsidR="00D4553A">
        <w:rPr>
          <w:sz w:val="24"/>
          <w:szCs w:val="24"/>
        </w:rPr>
        <w:t xml:space="preserve"> OECD</w:t>
      </w:r>
      <w:r w:rsidR="00FE0624">
        <w:rPr>
          <w:sz w:val="24"/>
          <w:szCs w:val="24"/>
        </w:rPr>
        <w:t xml:space="preserve"> instruments, or of </w:t>
      </w:r>
      <w:r w:rsidR="009D079B">
        <w:rPr>
          <w:sz w:val="24"/>
          <w:szCs w:val="24"/>
        </w:rPr>
        <w:t xml:space="preserve">promoting </w:t>
      </w:r>
      <w:r w:rsidR="00D4553A">
        <w:rPr>
          <w:sz w:val="24"/>
          <w:szCs w:val="24"/>
        </w:rPr>
        <w:t xml:space="preserve">their </w:t>
      </w:r>
      <w:r w:rsidR="009D079B">
        <w:rPr>
          <w:sz w:val="24"/>
          <w:szCs w:val="24"/>
        </w:rPr>
        <w:t>consistency</w:t>
      </w:r>
      <w:r w:rsidR="00FE0624">
        <w:rPr>
          <w:sz w:val="24"/>
          <w:szCs w:val="24"/>
        </w:rPr>
        <w:t xml:space="preserve"> and coherence</w:t>
      </w:r>
      <w:r w:rsidR="009D079B">
        <w:rPr>
          <w:sz w:val="24"/>
          <w:szCs w:val="24"/>
        </w:rPr>
        <w:t xml:space="preserve">. </w:t>
      </w:r>
      <w:r w:rsidRPr="00681AF5">
        <w:rPr>
          <w:sz w:val="24"/>
          <w:szCs w:val="24"/>
        </w:rPr>
        <w:t xml:space="preserve"> </w:t>
      </w:r>
    </w:p>
    <w:p w:rsidR="001C4E51" w:rsidRDefault="00FE0624" w:rsidP="001C4E51">
      <w:pPr>
        <w:ind w:left="360"/>
        <w:rPr>
          <w:sz w:val="24"/>
          <w:szCs w:val="24"/>
        </w:rPr>
      </w:pPr>
      <w:r>
        <w:rPr>
          <w:sz w:val="24"/>
          <w:szCs w:val="24"/>
        </w:rPr>
        <w:t xml:space="preserve">There are </w:t>
      </w:r>
      <w:r w:rsidR="001C4E51" w:rsidRPr="00831783">
        <w:rPr>
          <w:sz w:val="24"/>
          <w:szCs w:val="24"/>
        </w:rPr>
        <w:t xml:space="preserve">areas where the </w:t>
      </w:r>
      <w:r w:rsidR="009A5616">
        <w:rPr>
          <w:sz w:val="24"/>
          <w:szCs w:val="24"/>
        </w:rPr>
        <w:t xml:space="preserve">draft Principles </w:t>
      </w:r>
      <w:r w:rsidR="00D66D40">
        <w:rPr>
          <w:sz w:val="24"/>
          <w:szCs w:val="24"/>
        </w:rPr>
        <w:t>is</w:t>
      </w:r>
      <w:r w:rsidR="001C4E51" w:rsidRPr="00831783">
        <w:rPr>
          <w:sz w:val="24"/>
          <w:szCs w:val="24"/>
        </w:rPr>
        <w:t xml:space="preserve"> narrower in coverage than the GIFT High Level Principles. These include:</w:t>
      </w:r>
    </w:p>
    <w:p w:rsidR="00A2265E" w:rsidRDefault="00A2265E" w:rsidP="00831783">
      <w:pPr>
        <w:pStyle w:val="ListParagraph"/>
        <w:numPr>
          <w:ilvl w:val="0"/>
          <w:numId w:val="6"/>
        </w:numPr>
        <w:rPr>
          <w:sz w:val="24"/>
          <w:szCs w:val="24"/>
        </w:rPr>
      </w:pPr>
      <w:r>
        <w:rPr>
          <w:sz w:val="24"/>
          <w:szCs w:val="24"/>
        </w:rPr>
        <w:t xml:space="preserve">The scope of the instrument is </w:t>
      </w:r>
      <w:r w:rsidR="00586EFB">
        <w:rPr>
          <w:sz w:val="24"/>
          <w:szCs w:val="24"/>
        </w:rPr>
        <w:t xml:space="preserve">largely </w:t>
      </w:r>
      <w:r>
        <w:rPr>
          <w:sz w:val="24"/>
          <w:szCs w:val="24"/>
        </w:rPr>
        <w:t xml:space="preserve">confined to the national government. </w:t>
      </w:r>
      <w:r w:rsidR="00CD654D">
        <w:rPr>
          <w:sz w:val="24"/>
          <w:szCs w:val="24"/>
        </w:rPr>
        <w:t>T</w:t>
      </w:r>
      <w:r>
        <w:rPr>
          <w:sz w:val="24"/>
          <w:szCs w:val="24"/>
        </w:rPr>
        <w:t>ransparency of inter-governmental fiscal relations</w:t>
      </w:r>
      <w:r w:rsidR="00CD654D">
        <w:rPr>
          <w:sz w:val="24"/>
          <w:szCs w:val="24"/>
        </w:rPr>
        <w:t xml:space="preserve"> </w:t>
      </w:r>
      <w:r w:rsidR="00D66D40">
        <w:rPr>
          <w:sz w:val="24"/>
          <w:szCs w:val="24"/>
        </w:rPr>
        <w:t xml:space="preserve">(IGFR) </w:t>
      </w:r>
      <w:r w:rsidR="00CD654D">
        <w:rPr>
          <w:sz w:val="24"/>
          <w:szCs w:val="24"/>
        </w:rPr>
        <w:t>is not referred to</w:t>
      </w:r>
      <w:r w:rsidR="00D05FAA">
        <w:rPr>
          <w:sz w:val="24"/>
          <w:szCs w:val="24"/>
        </w:rPr>
        <w:t xml:space="preserve"> (GIFT HLP 7)</w:t>
      </w:r>
      <w:r w:rsidR="00586EFB">
        <w:rPr>
          <w:sz w:val="24"/>
          <w:szCs w:val="24"/>
        </w:rPr>
        <w:t xml:space="preserve"> – although in contrast to the 2002 Best Practices, there is reference to the central government presenting a full national overview of the public finances, encompassing central and sub-national levels of government (element 7.2)</w:t>
      </w:r>
      <w:r w:rsidR="00053B37">
        <w:rPr>
          <w:sz w:val="24"/>
          <w:szCs w:val="24"/>
        </w:rPr>
        <w:t>; and the Introduction to the Principles states that the Principles are relevant and should be applied as appropriate to all levels of government</w:t>
      </w:r>
      <w:r w:rsidR="00586EFB">
        <w:rPr>
          <w:sz w:val="24"/>
          <w:szCs w:val="24"/>
        </w:rPr>
        <w:t>.</w:t>
      </w:r>
      <w:r w:rsidR="00D66D40">
        <w:rPr>
          <w:sz w:val="24"/>
          <w:szCs w:val="24"/>
        </w:rPr>
        <w:t xml:space="preserve"> Relevant dimensions of IGFR include clarity of roles for fiscal management between different levels of government; transparency and predictability in the intergovernmental transfer system; and fiscal reporting.</w:t>
      </w:r>
    </w:p>
    <w:p w:rsidR="00D4553A" w:rsidRDefault="00831783" w:rsidP="00CE5C7E">
      <w:pPr>
        <w:pStyle w:val="ListParagraph"/>
        <w:numPr>
          <w:ilvl w:val="0"/>
          <w:numId w:val="6"/>
        </w:numPr>
        <w:rPr>
          <w:sz w:val="24"/>
          <w:szCs w:val="24"/>
        </w:rPr>
      </w:pPr>
      <w:r w:rsidRPr="00D4553A">
        <w:rPr>
          <w:sz w:val="24"/>
          <w:szCs w:val="24"/>
        </w:rPr>
        <w:t>The scope of the OECD instrument is confined to the ‘</w:t>
      </w:r>
      <w:r w:rsidR="00A2265E" w:rsidRPr="00D4553A">
        <w:rPr>
          <w:sz w:val="24"/>
          <w:szCs w:val="24"/>
        </w:rPr>
        <w:t xml:space="preserve">budget’ </w:t>
      </w:r>
      <w:r w:rsidR="00FE0624" w:rsidRPr="00D4553A">
        <w:rPr>
          <w:sz w:val="24"/>
          <w:szCs w:val="24"/>
        </w:rPr>
        <w:t xml:space="preserve">rather than to the broader concept of fiscal policy. </w:t>
      </w:r>
      <w:r w:rsidR="00EF497A" w:rsidRPr="00D4553A">
        <w:rPr>
          <w:sz w:val="24"/>
          <w:szCs w:val="24"/>
        </w:rPr>
        <w:t xml:space="preserve">The only reference to public corporations </w:t>
      </w:r>
      <w:r w:rsidR="00A83F91" w:rsidRPr="00D4553A">
        <w:rPr>
          <w:sz w:val="24"/>
          <w:szCs w:val="24"/>
        </w:rPr>
        <w:t xml:space="preserve">in the Best Practices </w:t>
      </w:r>
      <w:r w:rsidR="00EF497A" w:rsidRPr="00D4553A">
        <w:rPr>
          <w:sz w:val="24"/>
          <w:szCs w:val="24"/>
        </w:rPr>
        <w:t xml:space="preserve">is in </w:t>
      </w:r>
      <w:r w:rsidR="00B17B06" w:rsidRPr="00D4553A">
        <w:rPr>
          <w:sz w:val="24"/>
          <w:szCs w:val="24"/>
        </w:rPr>
        <w:t>2.3c requiring disclosures of financial assets</w:t>
      </w:r>
      <w:r w:rsidR="00D05FAA">
        <w:rPr>
          <w:sz w:val="24"/>
          <w:szCs w:val="24"/>
        </w:rPr>
        <w:t>, and there does not appear to be an explicit reference to extra-budgetary funds or social security</w:t>
      </w:r>
      <w:r w:rsidR="00B9075E">
        <w:rPr>
          <w:sz w:val="24"/>
          <w:szCs w:val="24"/>
        </w:rPr>
        <w:t xml:space="preserve">, or to </w:t>
      </w:r>
      <w:r w:rsidR="00B17B06" w:rsidRPr="00D4553A">
        <w:rPr>
          <w:sz w:val="24"/>
          <w:szCs w:val="24"/>
        </w:rPr>
        <w:t>the relationships between the government and public corporations. Of relevance in this context is transparency in the exercise of the govern</w:t>
      </w:r>
      <w:r w:rsidR="00CD654D" w:rsidRPr="00D4553A">
        <w:rPr>
          <w:sz w:val="24"/>
          <w:szCs w:val="24"/>
        </w:rPr>
        <w:t xml:space="preserve">ment’s ownership functions; </w:t>
      </w:r>
      <w:r w:rsidR="00B17B06" w:rsidRPr="00D4553A">
        <w:rPr>
          <w:sz w:val="24"/>
          <w:szCs w:val="24"/>
        </w:rPr>
        <w:t>transparency in imposing public service obligations on SOEs</w:t>
      </w:r>
      <w:r w:rsidR="00CD654D" w:rsidRPr="00D4553A">
        <w:rPr>
          <w:sz w:val="24"/>
          <w:szCs w:val="24"/>
        </w:rPr>
        <w:t xml:space="preserve">; and reporting of the financial position and performance of the public sector as well as its subsectors (the latter is included in </w:t>
      </w:r>
      <w:r w:rsidR="0077208E" w:rsidRPr="00D4553A">
        <w:rPr>
          <w:sz w:val="24"/>
          <w:szCs w:val="24"/>
        </w:rPr>
        <w:t>the IMF’s</w:t>
      </w:r>
      <w:r w:rsidR="009A5616" w:rsidRPr="00D4553A">
        <w:rPr>
          <w:sz w:val="24"/>
          <w:szCs w:val="24"/>
        </w:rPr>
        <w:t xml:space="preserve"> </w:t>
      </w:r>
      <w:r w:rsidR="00CE5C7E" w:rsidRPr="00D4553A">
        <w:rPr>
          <w:sz w:val="24"/>
          <w:szCs w:val="24"/>
        </w:rPr>
        <w:t>F</w:t>
      </w:r>
      <w:r w:rsidR="0077208E" w:rsidRPr="00D4553A">
        <w:rPr>
          <w:sz w:val="24"/>
          <w:szCs w:val="24"/>
        </w:rPr>
        <w:t>iscal Transparency Code</w:t>
      </w:r>
      <w:r w:rsidR="00CD654D" w:rsidRPr="00D4553A">
        <w:rPr>
          <w:sz w:val="24"/>
          <w:szCs w:val="24"/>
        </w:rPr>
        <w:t>)</w:t>
      </w:r>
      <w:r w:rsidR="0077208E" w:rsidRPr="00D4553A">
        <w:rPr>
          <w:sz w:val="24"/>
          <w:szCs w:val="24"/>
        </w:rPr>
        <w:t xml:space="preserve">. </w:t>
      </w:r>
      <w:r w:rsidR="00D4553A">
        <w:rPr>
          <w:sz w:val="24"/>
          <w:szCs w:val="24"/>
        </w:rPr>
        <w:t>GIFT HLPs 3, 6 and 7 contain elements that incorporate the public sector and the relationships between the government sector and the rest of the public sector.</w:t>
      </w:r>
    </w:p>
    <w:p w:rsidR="00A625FE" w:rsidRPr="00D4553A" w:rsidRDefault="008F0C5A" w:rsidP="00CE5C7E">
      <w:pPr>
        <w:pStyle w:val="ListParagraph"/>
        <w:numPr>
          <w:ilvl w:val="0"/>
          <w:numId w:val="6"/>
        </w:numPr>
        <w:rPr>
          <w:sz w:val="24"/>
          <w:szCs w:val="24"/>
        </w:rPr>
      </w:pPr>
      <w:r w:rsidRPr="00D4553A">
        <w:rPr>
          <w:sz w:val="24"/>
          <w:szCs w:val="24"/>
        </w:rPr>
        <w:t xml:space="preserve">Within the concept of ‘budgetary governance’, the draft </w:t>
      </w:r>
      <w:r w:rsidR="00FE0624" w:rsidRPr="00D4553A">
        <w:rPr>
          <w:sz w:val="24"/>
          <w:szCs w:val="24"/>
        </w:rPr>
        <w:t>Principles focus</w:t>
      </w:r>
      <w:r w:rsidR="0067245A">
        <w:rPr>
          <w:sz w:val="24"/>
          <w:szCs w:val="24"/>
        </w:rPr>
        <w:t>es</w:t>
      </w:r>
      <w:r w:rsidR="00FE0624" w:rsidRPr="00D4553A">
        <w:rPr>
          <w:sz w:val="24"/>
          <w:szCs w:val="24"/>
        </w:rPr>
        <w:t xml:space="preserve"> on budget</w:t>
      </w:r>
      <w:r w:rsidRPr="00D4553A">
        <w:rPr>
          <w:sz w:val="24"/>
          <w:szCs w:val="24"/>
        </w:rPr>
        <w:t xml:space="preserve"> preparation and presentation</w:t>
      </w:r>
      <w:r w:rsidR="00FE0624" w:rsidRPr="00D4553A">
        <w:rPr>
          <w:sz w:val="24"/>
          <w:szCs w:val="24"/>
        </w:rPr>
        <w:t>, a</w:t>
      </w:r>
      <w:r w:rsidRPr="00D4553A">
        <w:rPr>
          <w:sz w:val="24"/>
          <w:szCs w:val="24"/>
        </w:rPr>
        <w:t>nd contain</w:t>
      </w:r>
      <w:r w:rsidR="0067245A">
        <w:rPr>
          <w:sz w:val="24"/>
          <w:szCs w:val="24"/>
        </w:rPr>
        <w:t>s</w:t>
      </w:r>
      <w:r w:rsidRPr="00D4553A">
        <w:rPr>
          <w:sz w:val="24"/>
          <w:szCs w:val="24"/>
        </w:rPr>
        <w:t xml:space="preserve"> relatively little on </w:t>
      </w:r>
      <w:r w:rsidR="00FE0624" w:rsidRPr="00D4553A">
        <w:rPr>
          <w:sz w:val="24"/>
          <w:szCs w:val="24"/>
        </w:rPr>
        <w:t>budget implementation</w:t>
      </w:r>
      <w:r w:rsidRPr="00D4553A">
        <w:rPr>
          <w:sz w:val="24"/>
          <w:szCs w:val="24"/>
        </w:rPr>
        <w:t xml:space="preserve"> or</w:t>
      </w:r>
      <w:r w:rsidR="00FE0624" w:rsidRPr="00D4553A">
        <w:rPr>
          <w:sz w:val="24"/>
          <w:szCs w:val="24"/>
        </w:rPr>
        <w:t xml:space="preserve"> </w:t>
      </w:r>
      <w:r w:rsidRPr="00D4553A">
        <w:rPr>
          <w:sz w:val="24"/>
          <w:szCs w:val="24"/>
        </w:rPr>
        <w:t>fiscal reporting.</w:t>
      </w:r>
      <w:r w:rsidR="006578EC" w:rsidRPr="00D4553A">
        <w:rPr>
          <w:sz w:val="24"/>
          <w:szCs w:val="24"/>
        </w:rPr>
        <w:t xml:space="preserve"> The draft Principles do not contain any </w:t>
      </w:r>
      <w:r w:rsidR="00B9075E">
        <w:rPr>
          <w:sz w:val="24"/>
          <w:szCs w:val="24"/>
        </w:rPr>
        <w:t xml:space="preserve">explicit </w:t>
      </w:r>
      <w:r w:rsidR="006578EC" w:rsidRPr="00D4553A">
        <w:rPr>
          <w:sz w:val="24"/>
          <w:szCs w:val="24"/>
        </w:rPr>
        <w:t>provisions on</w:t>
      </w:r>
      <w:r w:rsidR="00A625FE" w:rsidRPr="00D4553A">
        <w:rPr>
          <w:sz w:val="24"/>
          <w:szCs w:val="24"/>
        </w:rPr>
        <w:t>:</w:t>
      </w:r>
    </w:p>
    <w:p w:rsidR="00D66D40" w:rsidRDefault="00A625FE" w:rsidP="001876C7">
      <w:pPr>
        <w:pStyle w:val="ListParagraph"/>
        <w:numPr>
          <w:ilvl w:val="0"/>
          <w:numId w:val="15"/>
        </w:numPr>
        <w:rPr>
          <w:sz w:val="24"/>
          <w:szCs w:val="24"/>
        </w:rPr>
      </w:pPr>
      <w:r w:rsidRPr="001876C7">
        <w:rPr>
          <w:sz w:val="24"/>
          <w:szCs w:val="24"/>
        </w:rPr>
        <w:t>Classification of revenues and expenditures to facilitate reporting and promote accountability.</w:t>
      </w:r>
    </w:p>
    <w:p w:rsidR="001876C7" w:rsidRDefault="00D66D40" w:rsidP="001876C7">
      <w:pPr>
        <w:pStyle w:val="ListParagraph"/>
        <w:numPr>
          <w:ilvl w:val="0"/>
          <w:numId w:val="15"/>
        </w:numPr>
        <w:rPr>
          <w:sz w:val="24"/>
          <w:szCs w:val="24"/>
        </w:rPr>
      </w:pPr>
      <w:r>
        <w:rPr>
          <w:sz w:val="24"/>
          <w:szCs w:val="24"/>
        </w:rPr>
        <w:t xml:space="preserve">Accounting systems and financial management information systems to capture and aggregate </w:t>
      </w:r>
      <w:r w:rsidR="00DE51CD">
        <w:rPr>
          <w:sz w:val="24"/>
          <w:szCs w:val="24"/>
        </w:rPr>
        <w:t xml:space="preserve">budget and </w:t>
      </w:r>
      <w:r>
        <w:rPr>
          <w:sz w:val="24"/>
          <w:szCs w:val="24"/>
        </w:rPr>
        <w:t xml:space="preserve">fiscal </w:t>
      </w:r>
      <w:r w:rsidR="00FF437F">
        <w:rPr>
          <w:sz w:val="24"/>
          <w:szCs w:val="24"/>
        </w:rPr>
        <w:t>information</w:t>
      </w:r>
      <w:bookmarkStart w:id="0" w:name="_GoBack"/>
      <w:bookmarkEnd w:id="0"/>
      <w:r w:rsidR="00DE51CD">
        <w:rPr>
          <w:sz w:val="24"/>
          <w:szCs w:val="24"/>
        </w:rPr>
        <w:t xml:space="preserve"> </w:t>
      </w:r>
      <w:r>
        <w:rPr>
          <w:sz w:val="24"/>
          <w:szCs w:val="24"/>
        </w:rPr>
        <w:t>and produce</w:t>
      </w:r>
      <w:r w:rsidR="00DE51CD">
        <w:rPr>
          <w:sz w:val="24"/>
          <w:szCs w:val="24"/>
        </w:rPr>
        <w:t xml:space="preserve"> budget implementation and</w:t>
      </w:r>
      <w:r>
        <w:rPr>
          <w:sz w:val="24"/>
          <w:szCs w:val="24"/>
        </w:rPr>
        <w:t xml:space="preserve"> fiscal reports.</w:t>
      </w:r>
      <w:r w:rsidR="00A625FE" w:rsidRPr="001876C7">
        <w:rPr>
          <w:sz w:val="24"/>
          <w:szCs w:val="24"/>
        </w:rPr>
        <w:t xml:space="preserve"> </w:t>
      </w:r>
      <w:r w:rsidR="006578EC" w:rsidRPr="001876C7">
        <w:rPr>
          <w:sz w:val="24"/>
          <w:szCs w:val="24"/>
        </w:rPr>
        <w:t xml:space="preserve"> </w:t>
      </w:r>
    </w:p>
    <w:p w:rsidR="001876C7" w:rsidRDefault="00D66D40" w:rsidP="001876C7">
      <w:pPr>
        <w:pStyle w:val="ListParagraph"/>
        <w:numPr>
          <w:ilvl w:val="0"/>
          <w:numId w:val="15"/>
        </w:numPr>
        <w:rPr>
          <w:sz w:val="24"/>
          <w:szCs w:val="24"/>
        </w:rPr>
      </w:pPr>
      <w:r>
        <w:rPr>
          <w:sz w:val="24"/>
          <w:szCs w:val="24"/>
        </w:rPr>
        <w:t xml:space="preserve">Allotment release, </w:t>
      </w:r>
      <w:r w:rsidR="00A625FE" w:rsidRPr="001876C7">
        <w:rPr>
          <w:sz w:val="24"/>
          <w:szCs w:val="24"/>
        </w:rPr>
        <w:t xml:space="preserve">annual </w:t>
      </w:r>
      <w:r w:rsidR="006578EC" w:rsidRPr="001876C7">
        <w:rPr>
          <w:sz w:val="24"/>
          <w:szCs w:val="24"/>
        </w:rPr>
        <w:t xml:space="preserve">contingency appropriations, </w:t>
      </w:r>
      <w:proofErr w:type="spellStart"/>
      <w:r w:rsidR="006578EC" w:rsidRPr="001876C7">
        <w:rPr>
          <w:sz w:val="24"/>
          <w:szCs w:val="24"/>
        </w:rPr>
        <w:t>virement</w:t>
      </w:r>
      <w:proofErr w:type="spellEnd"/>
      <w:r>
        <w:rPr>
          <w:sz w:val="24"/>
          <w:szCs w:val="24"/>
        </w:rPr>
        <w:t>, or s</w:t>
      </w:r>
      <w:r w:rsidRPr="001876C7">
        <w:rPr>
          <w:sz w:val="24"/>
          <w:szCs w:val="24"/>
        </w:rPr>
        <w:t>upplementary budgets</w:t>
      </w:r>
      <w:r w:rsidR="006578EC" w:rsidRPr="001876C7">
        <w:rPr>
          <w:sz w:val="24"/>
          <w:szCs w:val="24"/>
        </w:rPr>
        <w:t>.</w:t>
      </w:r>
    </w:p>
    <w:p w:rsidR="001876C7" w:rsidRDefault="00CE5C7E" w:rsidP="001876C7">
      <w:pPr>
        <w:pStyle w:val="ListParagraph"/>
        <w:numPr>
          <w:ilvl w:val="0"/>
          <w:numId w:val="15"/>
        </w:numPr>
        <w:rPr>
          <w:sz w:val="24"/>
          <w:szCs w:val="24"/>
        </w:rPr>
      </w:pPr>
      <w:r w:rsidRPr="001876C7">
        <w:rPr>
          <w:sz w:val="24"/>
          <w:szCs w:val="24"/>
        </w:rPr>
        <w:t>Procurement</w:t>
      </w:r>
      <w:r w:rsidR="00A625FE" w:rsidRPr="001876C7">
        <w:rPr>
          <w:sz w:val="24"/>
          <w:szCs w:val="24"/>
        </w:rPr>
        <w:t>.</w:t>
      </w:r>
    </w:p>
    <w:p w:rsidR="0096598D" w:rsidRPr="001876C7" w:rsidRDefault="0096598D" w:rsidP="001876C7">
      <w:pPr>
        <w:pStyle w:val="ListParagraph"/>
        <w:numPr>
          <w:ilvl w:val="0"/>
          <w:numId w:val="15"/>
        </w:numPr>
        <w:rPr>
          <w:sz w:val="24"/>
          <w:szCs w:val="24"/>
        </w:rPr>
      </w:pPr>
      <w:r w:rsidRPr="001876C7">
        <w:rPr>
          <w:sz w:val="24"/>
          <w:szCs w:val="24"/>
        </w:rPr>
        <w:lastRenderedPageBreak/>
        <w:t>The scope, content, periodicity or timeliness of reporting on budget implementation</w:t>
      </w:r>
      <w:r w:rsidR="00E908BB" w:rsidRPr="001876C7">
        <w:rPr>
          <w:sz w:val="24"/>
          <w:szCs w:val="24"/>
        </w:rPr>
        <w:t>, or comparability between different types of budget and fiscal reports</w:t>
      </w:r>
      <w:r w:rsidRPr="001876C7">
        <w:rPr>
          <w:sz w:val="24"/>
          <w:szCs w:val="24"/>
        </w:rPr>
        <w:t>.</w:t>
      </w:r>
    </w:p>
    <w:p w:rsidR="00E97061" w:rsidRDefault="00A625FE" w:rsidP="00A625FE">
      <w:pPr>
        <w:rPr>
          <w:sz w:val="24"/>
          <w:szCs w:val="24"/>
        </w:rPr>
      </w:pPr>
      <w:r>
        <w:rPr>
          <w:sz w:val="24"/>
          <w:szCs w:val="24"/>
        </w:rPr>
        <w:t xml:space="preserve">It </w:t>
      </w:r>
      <w:r w:rsidR="00D66D40">
        <w:rPr>
          <w:sz w:val="24"/>
          <w:szCs w:val="24"/>
        </w:rPr>
        <w:t>would</w:t>
      </w:r>
      <w:r>
        <w:rPr>
          <w:sz w:val="24"/>
          <w:szCs w:val="24"/>
        </w:rPr>
        <w:t xml:space="preserve"> be worth considering adding a new principle on budget executing/implementation, in between Principle 7 (Budgets) and Principle 8 (Performance, evaluation and VFM)</w:t>
      </w:r>
      <w:r w:rsidR="00B9075E">
        <w:rPr>
          <w:sz w:val="24"/>
          <w:szCs w:val="24"/>
        </w:rPr>
        <w:t>, to pick up some of these budget implementation issues</w:t>
      </w:r>
      <w:r>
        <w:rPr>
          <w:sz w:val="24"/>
          <w:szCs w:val="24"/>
        </w:rPr>
        <w:t xml:space="preserve">. </w:t>
      </w:r>
    </w:p>
    <w:p w:rsidR="00013FC0" w:rsidRDefault="00A625FE" w:rsidP="00A625FE">
      <w:pPr>
        <w:rPr>
          <w:sz w:val="24"/>
          <w:szCs w:val="24"/>
        </w:rPr>
      </w:pPr>
      <w:r>
        <w:rPr>
          <w:sz w:val="24"/>
          <w:szCs w:val="24"/>
        </w:rPr>
        <w:t xml:space="preserve">If the aim is to limit the principles to 10 in number, there appears to be some repetition </w:t>
      </w:r>
      <w:r w:rsidR="00952760">
        <w:rPr>
          <w:sz w:val="24"/>
          <w:szCs w:val="24"/>
        </w:rPr>
        <w:t xml:space="preserve">and overlap </w:t>
      </w:r>
      <w:r>
        <w:rPr>
          <w:sz w:val="24"/>
          <w:szCs w:val="24"/>
        </w:rPr>
        <w:t xml:space="preserve">with respect to medium term fiscal policy analysis and budgeting in Principles 1-4; some rationalisation of these 4 principles may be possible and </w:t>
      </w:r>
      <w:r w:rsidR="00952760">
        <w:rPr>
          <w:sz w:val="24"/>
          <w:szCs w:val="24"/>
        </w:rPr>
        <w:t xml:space="preserve">a reduction </w:t>
      </w:r>
      <w:r w:rsidR="00963780">
        <w:rPr>
          <w:sz w:val="24"/>
          <w:szCs w:val="24"/>
        </w:rPr>
        <w:t>to 2 or 3</w:t>
      </w:r>
      <w:r>
        <w:rPr>
          <w:sz w:val="24"/>
          <w:szCs w:val="24"/>
        </w:rPr>
        <w:t>.</w:t>
      </w:r>
      <w:r w:rsidR="00013FC0">
        <w:rPr>
          <w:sz w:val="24"/>
          <w:szCs w:val="24"/>
        </w:rPr>
        <w:t xml:space="preserve"> </w:t>
      </w:r>
      <w:r w:rsidR="00E97061">
        <w:rPr>
          <w:sz w:val="24"/>
          <w:szCs w:val="24"/>
        </w:rPr>
        <w:t>If sufficient space was created, i</w:t>
      </w:r>
      <w:r w:rsidR="00E97061" w:rsidRPr="00E97061">
        <w:rPr>
          <w:sz w:val="24"/>
          <w:szCs w:val="24"/>
        </w:rPr>
        <w:t xml:space="preserve">t </w:t>
      </w:r>
      <w:r w:rsidR="00D66D40">
        <w:rPr>
          <w:sz w:val="24"/>
          <w:szCs w:val="24"/>
        </w:rPr>
        <w:t>would</w:t>
      </w:r>
      <w:r w:rsidR="00E97061" w:rsidRPr="00E97061">
        <w:rPr>
          <w:sz w:val="24"/>
          <w:szCs w:val="24"/>
        </w:rPr>
        <w:t xml:space="preserve"> be worth considering elevating the role of the legislature to a separate high level principle (which might also include reference to the Supr</w:t>
      </w:r>
      <w:r w:rsidR="00E97061">
        <w:rPr>
          <w:sz w:val="24"/>
          <w:szCs w:val="24"/>
        </w:rPr>
        <w:t>eme Audit Institution</w:t>
      </w:r>
      <w:r w:rsidR="00E97061" w:rsidRPr="00E97061">
        <w:rPr>
          <w:sz w:val="24"/>
          <w:szCs w:val="24"/>
        </w:rPr>
        <w:t>)</w:t>
      </w:r>
      <w:r w:rsidR="00E97061">
        <w:rPr>
          <w:sz w:val="24"/>
          <w:szCs w:val="24"/>
        </w:rPr>
        <w:t xml:space="preserve"> – see A. vii, page 3 above</w:t>
      </w:r>
      <w:r w:rsidR="00D66D40">
        <w:rPr>
          <w:sz w:val="24"/>
          <w:szCs w:val="24"/>
        </w:rPr>
        <w:t xml:space="preserve"> – including reference to fundamental elements of SAIs such as independence from the executive, and adherence to international auditing standards</w:t>
      </w:r>
      <w:r w:rsidR="00E97061" w:rsidRPr="00E97061">
        <w:rPr>
          <w:sz w:val="24"/>
          <w:szCs w:val="24"/>
        </w:rPr>
        <w:t>.</w:t>
      </w:r>
    </w:p>
    <w:p w:rsidR="00CE5C7E" w:rsidRPr="00A625FE" w:rsidRDefault="00E97061" w:rsidP="00A625FE">
      <w:pPr>
        <w:rPr>
          <w:sz w:val="24"/>
          <w:szCs w:val="24"/>
        </w:rPr>
      </w:pPr>
      <w:r>
        <w:rPr>
          <w:sz w:val="24"/>
          <w:szCs w:val="24"/>
        </w:rPr>
        <w:t>I</w:t>
      </w:r>
      <w:r w:rsidR="00013FC0">
        <w:rPr>
          <w:sz w:val="24"/>
          <w:szCs w:val="24"/>
        </w:rPr>
        <w:t xml:space="preserve">t may also be worth considering setting out in one principle (Principle 5) a comprehensive list of the key information and reports that should be contained in the annual budget documents. This is an element that is somewhat underdone in the current set of international fiscal transparency standards. With respect to the draft OECD HLPs, additions to Principle 5 could include </w:t>
      </w:r>
      <w:r w:rsidR="001876C7">
        <w:rPr>
          <w:sz w:val="24"/>
          <w:szCs w:val="24"/>
        </w:rPr>
        <w:t xml:space="preserve">reference to </w:t>
      </w:r>
      <w:r w:rsidR="00013FC0">
        <w:rPr>
          <w:sz w:val="24"/>
          <w:szCs w:val="24"/>
        </w:rPr>
        <w:t xml:space="preserve">information on the </w:t>
      </w:r>
      <w:r w:rsidR="001876C7">
        <w:rPr>
          <w:sz w:val="24"/>
          <w:szCs w:val="24"/>
        </w:rPr>
        <w:t xml:space="preserve">government’s fiscal policy objectives and performance against them, on the </w:t>
      </w:r>
      <w:r w:rsidR="00013FC0">
        <w:rPr>
          <w:sz w:val="24"/>
          <w:szCs w:val="24"/>
        </w:rPr>
        <w:t>economic and fiscal forecasts</w:t>
      </w:r>
      <w:r w:rsidR="007D1A80">
        <w:rPr>
          <w:sz w:val="24"/>
          <w:szCs w:val="24"/>
        </w:rPr>
        <w:t>,</w:t>
      </w:r>
      <w:r w:rsidR="007D1A80">
        <w:rPr>
          <w:rStyle w:val="FootnoteReference"/>
          <w:sz w:val="24"/>
          <w:szCs w:val="24"/>
        </w:rPr>
        <w:footnoteReference w:id="2"/>
      </w:r>
      <w:r w:rsidR="00013FC0">
        <w:rPr>
          <w:sz w:val="24"/>
          <w:szCs w:val="24"/>
        </w:rPr>
        <w:t xml:space="preserve"> </w:t>
      </w:r>
      <w:r w:rsidR="00D66D40">
        <w:rPr>
          <w:sz w:val="24"/>
          <w:szCs w:val="24"/>
        </w:rPr>
        <w:t xml:space="preserve">on fiscal risks and their management, </w:t>
      </w:r>
      <w:r w:rsidR="001876C7">
        <w:rPr>
          <w:sz w:val="24"/>
          <w:szCs w:val="24"/>
        </w:rPr>
        <w:t>o</w:t>
      </w:r>
      <w:r w:rsidR="00013FC0">
        <w:rPr>
          <w:sz w:val="24"/>
          <w:szCs w:val="24"/>
        </w:rPr>
        <w:t xml:space="preserve">n </w:t>
      </w:r>
      <w:r w:rsidR="001876C7">
        <w:rPr>
          <w:sz w:val="24"/>
          <w:szCs w:val="24"/>
        </w:rPr>
        <w:t xml:space="preserve">the </w:t>
      </w:r>
      <w:r w:rsidR="00013FC0">
        <w:rPr>
          <w:sz w:val="24"/>
          <w:szCs w:val="24"/>
        </w:rPr>
        <w:t>MTEF,</w:t>
      </w:r>
      <w:r w:rsidR="001876C7">
        <w:rPr>
          <w:sz w:val="24"/>
          <w:szCs w:val="24"/>
        </w:rPr>
        <w:t xml:space="preserve"> on public investment projects,</w:t>
      </w:r>
      <w:r w:rsidR="00013FC0">
        <w:rPr>
          <w:sz w:val="24"/>
          <w:szCs w:val="24"/>
        </w:rPr>
        <w:t xml:space="preserve"> </w:t>
      </w:r>
      <w:r w:rsidR="001876C7">
        <w:rPr>
          <w:sz w:val="24"/>
          <w:szCs w:val="24"/>
        </w:rPr>
        <w:t xml:space="preserve">information on social security schemes, on Extra-budgetary funds, </w:t>
      </w:r>
      <w:r w:rsidR="00013FC0">
        <w:rPr>
          <w:sz w:val="24"/>
          <w:szCs w:val="24"/>
        </w:rPr>
        <w:t xml:space="preserve">a tax expenditure report, </w:t>
      </w:r>
      <w:r w:rsidR="001876C7">
        <w:rPr>
          <w:sz w:val="24"/>
          <w:szCs w:val="24"/>
        </w:rPr>
        <w:t>and a Citizen’s Guide to the Budget (currently referred to in HLP 6).</w:t>
      </w:r>
    </w:p>
    <w:p w:rsidR="00CE5C7E" w:rsidRDefault="00CE5C7E" w:rsidP="00CE5C7E">
      <w:pPr>
        <w:rPr>
          <w:sz w:val="24"/>
          <w:szCs w:val="24"/>
        </w:rPr>
      </w:pPr>
      <w:r w:rsidRPr="00CE5C7E">
        <w:rPr>
          <w:sz w:val="24"/>
          <w:szCs w:val="24"/>
        </w:rPr>
        <w:t>The</w:t>
      </w:r>
      <w:r>
        <w:rPr>
          <w:sz w:val="24"/>
          <w:szCs w:val="24"/>
        </w:rPr>
        <w:t xml:space="preserve"> draft Principles </w:t>
      </w:r>
      <w:r w:rsidRPr="00CE5C7E">
        <w:rPr>
          <w:sz w:val="24"/>
          <w:szCs w:val="24"/>
        </w:rPr>
        <w:t>also focus more on flows rather than stocks, and on the expenditure side of the budget rather than the revenue side:</w:t>
      </w:r>
    </w:p>
    <w:p w:rsidR="00CE5C7E" w:rsidRDefault="00663D9F" w:rsidP="00CE5C7E">
      <w:pPr>
        <w:pStyle w:val="ListParagraph"/>
        <w:numPr>
          <w:ilvl w:val="0"/>
          <w:numId w:val="13"/>
        </w:numPr>
        <w:rPr>
          <w:sz w:val="24"/>
          <w:szCs w:val="24"/>
        </w:rPr>
      </w:pPr>
      <w:r>
        <w:rPr>
          <w:sz w:val="24"/>
          <w:szCs w:val="24"/>
        </w:rPr>
        <w:t xml:space="preserve">Principle </w:t>
      </w:r>
      <w:r w:rsidR="00E908BB">
        <w:rPr>
          <w:sz w:val="24"/>
          <w:szCs w:val="24"/>
        </w:rPr>
        <w:t xml:space="preserve">2.1 states that budget targets should be used to ensure that all elements of revenue, expenditure and broader economic policy are consistent; while </w:t>
      </w:r>
      <w:r>
        <w:rPr>
          <w:sz w:val="24"/>
          <w:szCs w:val="24"/>
        </w:rPr>
        <w:t>5.3 states that the budgeting process should bring together all the financial inflows and outflows of government. Integrating budgeting with the balance sheet and an asset-liability management approach would also be worth considering in an OECD context.</w:t>
      </w:r>
    </w:p>
    <w:p w:rsidR="00CE5C7E" w:rsidRPr="00963780" w:rsidRDefault="00663D9F" w:rsidP="00FE0624">
      <w:pPr>
        <w:pStyle w:val="ListParagraph"/>
        <w:numPr>
          <w:ilvl w:val="0"/>
          <w:numId w:val="13"/>
        </w:numPr>
        <w:rPr>
          <w:sz w:val="24"/>
          <w:szCs w:val="24"/>
        </w:rPr>
      </w:pPr>
      <w:r>
        <w:rPr>
          <w:sz w:val="24"/>
          <w:szCs w:val="24"/>
        </w:rPr>
        <w:t xml:space="preserve">Principle 3.3 refers to the need for a periodic comprehensive review of expenditure but there is no </w:t>
      </w:r>
      <w:r w:rsidR="00B9075E">
        <w:rPr>
          <w:sz w:val="24"/>
          <w:szCs w:val="24"/>
        </w:rPr>
        <w:t xml:space="preserve">explicit </w:t>
      </w:r>
      <w:r>
        <w:rPr>
          <w:sz w:val="24"/>
          <w:szCs w:val="24"/>
        </w:rPr>
        <w:t xml:space="preserve">reference to the need for a periodic review of </w:t>
      </w:r>
      <w:r w:rsidR="00952760">
        <w:rPr>
          <w:sz w:val="24"/>
          <w:szCs w:val="24"/>
        </w:rPr>
        <w:t>revenue</w:t>
      </w:r>
      <w:r>
        <w:rPr>
          <w:sz w:val="24"/>
          <w:szCs w:val="24"/>
        </w:rPr>
        <w:t xml:space="preserve"> </w:t>
      </w:r>
      <w:r>
        <w:rPr>
          <w:sz w:val="24"/>
          <w:szCs w:val="24"/>
        </w:rPr>
        <w:lastRenderedPageBreak/>
        <w:t xml:space="preserve">policies. Similarly 4.2 </w:t>
      </w:r>
      <w:proofErr w:type="gramStart"/>
      <w:r>
        <w:rPr>
          <w:sz w:val="24"/>
          <w:szCs w:val="24"/>
        </w:rPr>
        <w:t>refers</w:t>
      </w:r>
      <w:proofErr w:type="gramEnd"/>
      <w:r>
        <w:rPr>
          <w:sz w:val="24"/>
          <w:szCs w:val="24"/>
        </w:rPr>
        <w:t xml:space="preserve"> to an MTEF but not to a medium term tax strategy, while 6.4, 8.3 and 8.5 refer to analysis of expenditures and tax expenditures but not to analysis of </w:t>
      </w:r>
      <w:r w:rsidR="00952760">
        <w:rPr>
          <w:sz w:val="24"/>
          <w:szCs w:val="24"/>
        </w:rPr>
        <w:t>rev</w:t>
      </w:r>
      <w:r w:rsidR="00013FC0">
        <w:rPr>
          <w:sz w:val="24"/>
          <w:szCs w:val="24"/>
        </w:rPr>
        <w:t>e</w:t>
      </w:r>
      <w:r w:rsidR="00952760">
        <w:rPr>
          <w:sz w:val="24"/>
          <w:szCs w:val="24"/>
        </w:rPr>
        <w:t>nue</w:t>
      </w:r>
      <w:r>
        <w:rPr>
          <w:sz w:val="24"/>
          <w:szCs w:val="24"/>
        </w:rPr>
        <w:t xml:space="preserve"> policies.</w:t>
      </w:r>
    </w:p>
    <w:p w:rsidR="00FE0624" w:rsidRDefault="00CE5C7E" w:rsidP="00FE0624">
      <w:pPr>
        <w:rPr>
          <w:sz w:val="24"/>
          <w:szCs w:val="24"/>
        </w:rPr>
      </w:pPr>
      <w:r>
        <w:rPr>
          <w:sz w:val="24"/>
          <w:szCs w:val="24"/>
        </w:rPr>
        <w:t>Other points of detail:</w:t>
      </w:r>
    </w:p>
    <w:p w:rsidR="001876C7" w:rsidRDefault="00FE0624" w:rsidP="001876C7">
      <w:pPr>
        <w:pStyle w:val="ListParagraph"/>
        <w:numPr>
          <w:ilvl w:val="0"/>
          <w:numId w:val="16"/>
        </w:numPr>
        <w:rPr>
          <w:sz w:val="24"/>
          <w:szCs w:val="24"/>
        </w:rPr>
      </w:pPr>
      <w:r w:rsidRPr="001876C7">
        <w:rPr>
          <w:sz w:val="24"/>
          <w:szCs w:val="24"/>
        </w:rPr>
        <w:t xml:space="preserve">The Introduction to the draft Principles refers to ‘…the Treasury/Ministry of Finance (“central budget authority”), although in many countries budget </w:t>
      </w:r>
      <w:r w:rsidR="00A625FE" w:rsidRPr="001876C7">
        <w:rPr>
          <w:sz w:val="24"/>
          <w:szCs w:val="24"/>
        </w:rPr>
        <w:t xml:space="preserve">and fiscal </w:t>
      </w:r>
      <w:r w:rsidRPr="001876C7">
        <w:rPr>
          <w:sz w:val="24"/>
          <w:szCs w:val="24"/>
        </w:rPr>
        <w:t xml:space="preserve">management is the responsibility of more than one government department e.g. </w:t>
      </w:r>
      <w:r w:rsidR="00A625FE" w:rsidRPr="001876C7">
        <w:rPr>
          <w:sz w:val="24"/>
          <w:szCs w:val="24"/>
        </w:rPr>
        <w:t xml:space="preserve">countries with a split between macro-fiscal issues and expenditure management, or, in </w:t>
      </w:r>
      <w:r w:rsidR="00B9075E">
        <w:rPr>
          <w:sz w:val="24"/>
          <w:szCs w:val="24"/>
        </w:rPr>
        <w:t xml:space="preserve">the </w:t>
      </w:r>
      <w:r w:rsidR="002B129C" w:rsidRPr="001876C7">
        <w:rPr>
          <w:sz w:val="24"/>
          <w:szCs w:val="24"/>
        </w:rPr>
        <w:t xml:space="preserve">many </w:t>
      </w:r>
      <w:r w:rsidRPr="001876C7">
        <w:rPr>
          <w:sz w:val="24"/>
          <w:szCs w:val="24"/>
        </w:rPr>
        <w:t>non-OECD member countries</w:t>
      </w:r>
      <w:r w:rsidR="002B129C" w:rsidRPr="001876C7">
        <w:rPr>
          <w:sz w:val="24"/>
          <w:szCs w:val="24"/>
        </w:rPr>
        <w:t xml:space="preserve"> where there is</w:t>
      </w:r>
      <w:r w:rsidRPr="001876C7">
        <w:rPr>
          <w:sz w:val="24"/>
          <w:szCs w:val="24"/>
        </w:rPr>
        <w:t xml:space="preserve"> a dual budget system (cur</w:t>
      </w:r>
      <w:r w:rsidR="002B129C" w:rsidRPr="001876C7">
        <w:rPr>
          <w:sz w:val="24"/>
          <w:szCs w:val="24"/>
        </w:rPr>
        <w:t>rent and development budgets)</w:t>
      </w:r>
      <w:r w:rsidRPr="001876C7">
        <w:rPr>
          <w:sz w:val="24"/>
          <w:szCs w:val="24"/>
        </w:rPr>
        <w:t xml:space="preserve">. The relationships within government between two or more agencies with budget </w:t>
      </w:r>
      <w:r w:rsidR="002B129C" w:rsidRPr="001876C7">
        <w:rPr>
          <w:sz w:val="24"/>
          <w:szCs w:val="24"/>
        </w:rPr>
        <w:t xml:space="preserve">or wider fiscal </w:t>
      </w:r>
      <w:r w:rsidRPr="001876C7">
        <w:rPr>
          <w:sz w:val="24"/>
          <w:szCs w:val="24"/>
        </w:rPr>
        <w:t>management responsibilities would appear to be at least as important as some of the other internal relationships covered in the draft principles e.g. the relationship between the central budget authority and the prime minister’s office or cabinet office (principle 3.2).</w:t>
      </w:r>
    </w:p>
    <w:p w:rsidR="001876C7" w:rsidRDefault="00CE5C7E" w:rsidP="001876C7">
      <w:pPr>
        <w:pStyle w:val="ListParagraph"/>
        <w:numPr>
          <w:ilvl w:val="0"/>
          <w:numId w:val="16"/>
        </w:numPr>
        <w:rPr>
          <w:sz w:val="24"/>
          <w:szCs w:val="24"/>
        </w:rPr>
      </w:pPr>
      <w:r w:rsidRPr="001876C7">
        <w:rPr>
          <w:sz w:val="24"/>
          <w:szCs w:val="24"/>
        </w:rPr>
        <w:t>In Princip</w:t>
      </w:r>
      <w:r w:rsidR="00B9075E">
        <w:rPr>
          <w:sz w:val="24"/>
          <w:szCs w:val="24"/>
        </w:rPr>
        <w:t xml:space="preserve">le 9 on sustainability and risk, references might be added to </w:t>
      </w:r>
      <w:r w:rsidRPr="001876C7">
        <w:rPr>
          <w:sz w:val="24"/>
          <w:szCs w:val="24"/>
        </w:rPr>
        <w:t xml:space="preserve">some important general categories of fiscal risk, such as </w:t>
      </w:r>
      <w:r w:rsidR="00663D9F" w:rsidRPr="001876C7">
        <w:rPr>
          <w:sz w:val="24"/>
          <w:szCs w:val="24"/>
        </w:rPr>
        <w:t xml:space="preserve">risks from the financial sector, </w:t>
      </w:r>
      <w:r w:rsidR="00963780" w:rsidRPr="001876C7">
        <w:rPr>
          <w:sz w:val="24"/>
          <w:szCs w:val="24"/>
        </w:rPr>
        <w:t xml:space="preserve">from natural resource depletion, </w:t>
      </w:r>
      <w:r w:rsidR="00663D9F" w:rsidRPr="001876C7">
        <w:rPr>
          <w:sz w:val="24"/>
          <w:szCs w:val="24"/>
        </w:rPr>
        <w:t xml:space="preserve">and </w:t>
      </w:r>
      <w:r w:rsidRPr="001876C7">
        <w:rPr>
          <w:sz w:val="24"/>
          <w:szCs w:val="24"/>
        </w:rPr>
        <w:t>envir</w:t>
      </w:r>
      <w:r w:rsidR="00663D9F" w:rsidRPr="001876C7">
        <w:rPr>
          <w:sz w:val="24"/>
          <w:szCs w:val="24"/>
        </w:rPr>
        <w:t>onmental risks.</w:t>
      </w:r>
    </w:p>
    <w:p w:rsidR="00FE0624" w:rsidRPr="001876C7" w:rsidRDefault="002B129C" w:rsidP="001876C7">
      <w:pPr>
        <w:pStyle w:val="ListParagraph"/>
        <w:numPr>
          <w:ilvl w:val="0"/>
          <w:numId w:val="16"/>
        </w:numPr>
        <w:rPr>
          <w:sz w:val="24"/>
          <w:szCs w:val="24"/>
        </w:rPr>
      </w:pPr>
      <w:r w:rsidRPr="001876C7">
        <w:rPr>
          <w:sz w:val="24"/>
          <w:szCs w:val="24"/>
        </w:rPr>
        <w:t>In Principle 2.1 there is reference to ‘the setting of overall fiscal targets by the CBA.</w:t>
      </w:r>
      <w:r w:rsidR="00963780" w:rsidRPr="001876C7">
        <w:rPr>
          <w:sz w:val="24"/>
          <w:szCs w:val="24"/>
        </w:rPr>
        <w:t xml:space="preserve">’ </w:t>
      </w:r>
      <w:r w:rsidRPr="001876C7">
        <w:rPr>
          <w:sz w:val="24"/>
          <w:szCs w:val="24"/>
        </w:rPr>
        <w:t>As CBA is defined, it is not perhaps clear that the setting of fiscal targets is a function of elected decision makers, rather than civil servants.</w:t>
      </w:r>
    </w:p>
    <w:p w:rsidR="00681AF5" w:rsidRDefault="007D3FC6" w:rsidP="007D3FC6">
      <w:pPr>
        <w:rPr>
          <w:sz w:val="24"/>
          <w:szCs w:val="24"/>
        </w:rPr>
      </w:pPr>
      <w:r>
        <w:rPr>
          <w:sz w:val="24"/>
          <w:szCs w:val="24"/>
        </w:rPr>
        <w:t>Finally, a distinctive aspect of the</w:t>
      </w:r>
      <w:r w:rsidR="00586EFB">
        <w:rPr>
          <w:sz w:val="24"/>
          <w:szCs w:val="24"/>
        </w:rPr>
        <w:t xml:space="preserve"> draft Principles (as with the 2002</w:t>
      </w:r>
      <w:r>
        <w:rPr>
          <w:sz w:val="24"/>
          <w:szCs w:val="24"/>
        </w:rPr>
        <w:t xml:space="preserve"> Best Practices</w:t>
      </w:r>
      <w:r w:rsidR="00586EFB">
        <w:rPr>
          <w:sz w:val="24"/>
          <w:szCs w:val="24"/>
        </w:rPr>
        <w:t>)</w:t>
      </w:r>
      <w:r>
        <w:rPr>
          <w:sz w:val="24"/>
          <w:szCs w:val="24"/>
        </w:rPr>
        <w:t xml:space="preserve"> is that some of the individual provisions are in the nature of definitions, or </w:t>
      </w:r>
      <w:r w:rsidR="002116CA">
        <w:rPr>
          <w:sz w:val="24"/>
          <w:szCs w:val="24"/>
        </w:rPr>
        <w:t>assertions</w:t>
      </w:r>
      <w:r>
        <w:rPr>
          <w:sz w:val="24"/>
          <w:szCs w:val="24"/>
        </w:rPr>
        <w:t xml:space="preserve"> of fact, rather than normative statements. For example, </w:t>
      </w:r>
      <w:r w:rsidR="002116CA">
        <w:rPr>
          <w:sz w:val="24"/>
          <w:szCs w:val="24"/>
        </w:rPr>
        <w:t xml:space="preserve">provision </w:t>
      </w:r>
      <w:r w:rsidR="005D4D86">
        <w:rPr>
          <w:sz w:val="24"/>
          <w:szCs w:val="24"/>
        </w:rPr>
        <w:t xml:space="preserve">1.1, 2.2, </w:t>
      </w:r>
      <w:r w:rsidR="002B129C">
        <w:rPr>
          <w:sz w:val="24"/>
          <w:szCs w:val="24"/>
        </w:rPr>
        <w:t>4.1, 9.2, and 10.1</w:t>
      </w:r>
      <w:r w:rsidR="002116CA">
        <w:rPr>
          <w:sz w:val="24"/>
          <w:szCs w:val="24"/>
        </w:rPr>
        <w:t>.</w:t>
      </w:r>
      <w:r w:rsidR="005D4D86">
        <w:rPr>
          <w:sz w:val="24"/>
          <w:szCs w:val="24"/>
        </w:rPr>
        <w:t xml:space="preserve"> </w:t>
      </w:r>
    </w:p>
    <w:p w:rsidR="005D4D86" w:rsidRDefault="005D4D86" w:rsidP="007D3FC6">
      <w:pPr>
        <w:rPr>
          <w:sz w:val="24"/>
          <w:szCs w:val="24"/>
        </w:rPr>
      </w:pPr>
    </w:p>
    <w:p w:rsidR="00681AF5" w:rsidRDefault="00681AF5" w:rsidP="007D3FC6">
      <w:pPr>
        <w:rPr>
          <w:sz w:val="24"/>
          <w:szCs w:val="24"/>
        </w:rPr>
      </w:pPr>
      <w:r>
        <w:rPr>
          <w:sz w:val="24"/>
          <w:szCs w:val="24"/>
        </w:rPr>
        <w:t>Murray Petrie</w:t>
      </w:r>
    </w:p>
    <w:p w:rsidR="00681AF5" w:rsidRDefault="00681AF5" w:rsidP="007D3FC6">
      <w:pPr>
        <w:rPr>
          <w:sz w:val="24"/>
          <w:szCs w:val="24"/>
        </w:rPr>
      </w:pPr>
      <w:r>
        <w:rPr>
          <w:sz w:val="24"/>
          <w:szCs w:val="24"/>
        </w:rPr>
        <w:t>Lead Technical Advisor</w:t>
      </w:r>
    </w:p>
    <w:p w:rsidR="00681AF5" w:rsidRDefault="00681AF5" w:rsidP="007D3FC6">
      <w:pPr>
        <w:rPr>
          <w:sz w:val="24"/>
          <w:szCs w:val="24"/>
        </w:rPr>
      </w:pPr>
      <w:r>
        <w:rPr>
          <w:sz w:val="24"/>
          <w:szCs w:val="24"/>
        </w:rPr>
        <w:t>Global Initiative for Fiscal Transparency</w:t>
      </w:r>
    </w:p>
    <w:p w:rsidR="00D66D40" w:rsidRPr="007D3FC6" w:rsidRDefault="00D66D40" w:rsidP="007D3FC6">
      <w:pPr>
        <w:rPr>
          <w:sz w:val="24"/>
          <w:szCs w:val="24"/>
        </w:rPr>
      </w:pPr>
      <w:r>
        <w:rPr>
          <w:sz w:val="24"/>
          <w:szCs w:val="24"/>
        </w:rPr>
        <w:t>17 March 2014</w:t>
      </w:r>
    </w:p>
    <w:p w:rsidR="001C4E51" w:rsidRPr="001C4E51" w:rsidRDefault="001C4E51" w:rsidP="001C4E51">
      <w:pPr>
        <w:ind w:left="360"/>
        <w:rPr>
          <w:sz w:val="28"/>
          <w:szCs w:val="28"/>
        </w:rPr>
      </w:pPr>
    </w:p>
    <w:p w:rsidR="006735CD" w:rsidRDefault="006735CD"/>
    <w:sectPr w:rsidR="006735CD" w:rsidSect="00EE63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7A2" w:rsidRDefault="004757A2" w:rsidP="00BA005E">
      <w:pPr>
        <w:spacing w:after="0" w:line="240" w:lineRule="auto"/>
      </w:pPr>
      <w:r>
        <w:separator/>
      </w:r>
    </w:p>
  </w:endnote>
  <w:endnote w:type="continuationSeparator" w:id="0">
    <w:p w:rsidR="004757A2" w:rsidRDefault="004757A2" w:rsidP="00BA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988002"/>
      <w:docPartObj>
        <w:docPartGallery w:val="Page Numbers (Bottom of Page)"/>
        <w:docPartUnique/>
      </w:docPartObj>
    </w:sdtPr>
    <w:sdtEndPr>
      <w:rPr>
        <w:noProof/>
      </w:rPr>
    </w:sdtEndPr>
    <w:sdtContent>
      <w:p w:rsidR="00BA005E" w:rsidRDefault="00BA005E">
        <w:pPr>
          <w:pStyle w:val="Footer"/>
          <w:jc w:val="center"/>
        </w:pPr>
        <w:r>
          <w:fldChar w:fldCharType="begin"/>
        </w:r>
        <w:r>
          <w:instrText xml:space="preserve"> PAGE   \* MERGEFORMAT </w:instrText>
        </w:r>
        <w:r>
          <w:fldChar w:fldCharType="separate"/>
        </w:r>
        <w:r w:rsidR="00FF437F">
          <w:rPr>
            <w:noProof/>
          </w:rPr>
          <w:t>4</w:t>
        </w:r>
        <w:r>
          <w:rPr>
            <w:noProof/>
          </w:rPr>
          <w:fldChar w:fldCharType="end"/>
        </w:r>
      </w:p>
    </w:sdtContent>
  </w:sdt>
  <w:p w:rsidR="00BA005E" w:rsidRDefault="00BA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7A2" w:rsidRDefault="004757A2" w:rsidP="00BA005E">
      <w:pPr>
        <w:spacing w:after="0" w:line="240" w:lineRule="auto"/>
      </w:pPr>
      <w:r>
        <w:separator/>
      </w:r>
    </w:p>
  </w:footnote>
  <w:footnote w:type="continuationSeparator" w:id="0">
    <w:p w:rsidR="004757A2" w:rsidRDefault="004757A2" w:rsidP="00BA005E">
      <w:pPr>
        <w:spacing w:after="0" w:line="240" w:lineRule="auto"/>
      </w:pPr>
      <w:r>
        <w:continuationSeparator/>
      </w:r>
    </w:p>
  </w:footnote>
  <w:footnote w:id="1">
    <w:p w:rsidR="00153F76" w:rsidRDefault="00153F76">
      <w:pPr>
        <w:pStyle w:val="FootnoteText"/>
      </w:pPr>
      <w:r>
        <w:rPr>
          <w:rStyle w:val="FootnoteReference"/>
        </w:rPr>
        <w:footnoteRef/>
      </w:r>
      <w:r>
        <w:t xml:space="preserve"> </w:t>
      </w:r>
      <w:r w:rsidR="00681AF5">
        <w:t xml:space="preserve">This mapping is similar in approach to the mapping of the </w:t>
      </w:r>
      <w:r w:rsidR="009D0413">
        <w:t xml:space="preserve">2002 </w:t>
      </w:r>
      <w:r w:rsidR="00681AF5">
        <w:t>OECD Best Practices for Budget Transparency to the GIFT HLPs, see draft note of 24 September 2013.</w:t>
      </w:r>
      <w:r w:rsidR="000D0548">
        <w:t xml:space="preserve"> </w:t>
      </w:r>
    </w:p>
  </w:footnote>
  <w:footnote w:id="2">
    <w:p w:rsidR="007D1A80" w:rsidRPr="007D1A80" w:rsidRDefault="007D1A80" w:rsidP="007D1A80">
      <w:pPr>
        <w:rPr>
          <w:sz w:val="24"/>
          <w:szCs w:val="24"/>
        </w:rPr>
      </w:pPr>
      <w:r>
        <w:rPr>
          <w:rStyle w:val="FootnoteReference"/>
        </w:rPr>
        <w:footnoteRef/>
      </w:r>
      <w:r>
        <w:t xml:space="preserve"> </w:t>
      </w:r>
      <w:r w:rsidRPr="007D1A80">
        <w:rPr>
          <w:sz w:val="24"/>
          <w:szCs w:val="24"/>
        </w:rPr>
        <w:t xml:space="preserve">While </w:t>
      </w:r>
      <w:r>
        <w:rPr>
          <w:sz w:val="24"/>
          <w:szCs w:val="24"/>
        </w:rPr>
        <w:t xml:space="preserve">principle </w:t>
      </w:r>
      <w:r w:rsidRPr="007D1A80">
        <w:rPr>
          <w:sz w:val="24"/>
          <w:szCs w:val="24"/>
        </w:rPr>
        <w:t>2.2 refers to the accuracy of economic and fiscal forecasts, Principle 5 on the content of budget documents could usefully refer to the need for them to contain detailed information and data on these forecasts.</w:t>
      </w:r>
      <w:r>
        <w:rPr>
          <w:sz w:val="24"/>
          <w:szCs w:val="24"/>
        </w:rPr>
        <w:t xml:space="preserve"> There should also be a revised macroeconomic and fiscal forecast presented in the mid-year report.</w:t>
      </w:r>
    </w:p>
    <w:p w:rsidR="007D1A80" w:rsidRDefault="007D1A8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A03"/>
    <w:multiLevelType w:val="hybridMultilevel"/>
    <w:tmpl w:val="A24484DE"/>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5471173"/>
    <w:multiLevelType w:val="hybridMultilevel"/>
    <w:tmpl w:val="4734F61E"/>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09861A28"/>
    <w:multiLevelType w:val="hybridMultilevel"/>
    <w:tmpl w:val="899A5C4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8052723"/>
    <w:multiLevelType w:val="hybridMultilevel"/>
    <w:tmpl w:val="28C6A14A"/>
    <w:lvl w:ilvl="0" w:tplc="1409001B">
      <w:start w:val="1"/>
      <w:numFmt w:val="lowerRoman"/>
      <w:lvlText w:val="%1."/>
      <w:lvlJc w:val="righ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4">
    <w:nsid w:val="2BFC2567"/>
    <w:multiLevelType w:val="hybridMultilevel"/>
    <w:tmpl w:val="3D22C5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0EE545E"/>
    <w:multiLevelType w:val="hybridMultilevel"/>
    <w:tmpl w:val="A74809B6"/>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3E338A7"/>
    <w:multiLevelType w:val="hybridMultilevel"/>
    <w:tmpl w:val="3EF6C8D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7B56288"/>
    <w:multiLevelType w:val="hybridMultilevel"/>
    <w:tmpl w:val="899A5C40"/>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1EB05EB"/>
    <w:multiLevelType w:val="hybridMultilevel"/>
    <w:tmpl w:val="5058A752"/>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4CE5260A"/>
    <w:multiLevelType w:val="hybridMultilevel"/>
    <w:tmpl w:val="19181BFA"/>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4E1374E5"/>
    <w:multiLevelType w:val="hybridMultilevel"/>
    <w:tmpl w:val="7C2C0E8A"/>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59607C2B"/>
    <w:multiLevelType w:val="hybridMultilevel"/>
    <w:tmpl w:val="A63A98E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DAA086A"/>
    <w:multiLevelType w:val="hybridMultilevel"/>
    <w:tmpl w:val="F746C9B6"/>
    <w:lvl w:ilvl="0" w:tplc="14090019">
      <w:start w:val="1"/>
      <w:numFmt w:val="lowerLetter"/>
      <w:lvlText w:val="%1."/>
      <w:lvlJc w:val="left"/>
      <w:pPr>
        <w:ind w:left="2520" w:hanging="360"/>
      </w:p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3">
    <w:nsid w:val="5FF5056D"/>
    <w:multiLevelType w:val="hybridMultilevel"/>
    <w:tmpl w:val="899A5C4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7D075CD"/>
    <w:multiLevelType w:val="hybridMultilevel"/>
    <w:tmpl w:val="017A16D2"/>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5">
    <w:nsid w:val="7CBD204C"/>
    <w:multiLevelType w:val="hybridMultilevel"/>
    <w:tmpl w:val="8B129FD2"/>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1"/>
  </w:num>
  <w:num w:numId="6">
    <w:abstractNumId w:val="10"/>
  </w:num>
  <w:num w:numId="7">
    <w:abstractNumId w:val="13"/>
  </w:num>
  <w:num w:numId="8">
    <w:abstractNumId w:val="2"/>
  </w:num>
  <w:num w:numId="9">
    <w:abstractNumId w:val="8"/>
  </w:num>
  <w:num w:numId="10">
    <w:abstractNumId w:val="14"/>
  </w:num>
  <w:num w:numId="11">
    <w:abstractNumId w:val="3"/>
  </w:num>
  <w:num w:numId="12">
    <w:abstractNumId w:val="4"/>
  </w:num>
  <w:num w:numId="13">
    <w:abstractNumId w:val="11"/>
  </w:num>
  <w:num w:numId="14">
    <w:abstractNumId w:val="1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27"/>
    <w:rsid w:val="00000EBC"/>
    <w:rsid w:val="00013FC0"/>
    <w:rsid w:val="0002089A"/>
    <w:rsid w:val="00033ABA"/>
    <w:rsid w:val="00053B37"/>
    <w:rsid w:val="0006094B"/>
    <w:rsid w:val="00062944"/>
    <w:rsid w:val="00081D0B"/>
    <w:rsid w:val="0008606E"/>
    <w:rsid w:val="000A573A"/>
    <w:rsid w:val="000D0548"/>
    <w:rsid w:val="000D2CCC"/>
    <w:rsid w:val="000E089A"/>
    <w:rsid w:val="000E0D4E"/>
    <w:rsid w:val="000E2619"/>
    <w:rsid w:val="000F0C39"/>
    <w:rsid w:val="000F3AA5"/>
    <w:rsid w:val="00127580"/>
    <w:rsid w:val="00153F76"/>
    <w:rsid w:val="00164599"/>
    <w:rsid w:val="001876C7"/>
    <w:rsid w:val="001C4E51"/>
    <w:rsid w:val="002116CA"/>
    <w:rsid w:val="0024603F"/>
    <w:rsid w:val="00246ABF"/>
    <w:rsid w:val="00277F66"/>
    <w:rsid w:val="002B129C"/>
    <w:rsid w:val="002C3A4D"/>
    <w:rsid w:val="00300B01"/>
    <w:rsid w:val="003653ED"/>
    <w:rsid w:val="00370A48"/>
    <w:rsid w:val="003B715D"/>
    <w:rsid w:val="003F0785"/>
    <w:rsid w:val="00413208"/>
    <w:rsid w:val="00413CA6"/>
    <w:rsid w:val="00451192"/>
    <w:rsid w:val="004757A2"/>
    <w:rsid w:val="00476570"/>
    <w:rsid w:val="00483B7C"/>
    <w:rsid w:val="00502989"/>
    <w:rsid w:val="00586EFB"/>
    <w:rsid w:val="005A11D3"/>
    <w:rsid w:val="005D34A3"/>
    <w:rsid w:val="005D4D86"/>
    <w:rsid w:val="00633729"/>
    <w:rsid w:val="006435B0"/>
    <w:rsid w:val="006578EC"/>
    <w:rsid w:val="00663D9F"/>
    <w:rsid w:val="0067245A"/>
    <w:rsid w:val="006735CD"/>
    <w:rsid w:val="00681AF5"/>
    <w:rsid w:val="0069616C"/>
    <w:rsid w:val="006D49CF"/>
    <w:rsid w:val="006D70AB"/>
    <w:rsid w:val="00705CDA"/>
    <w:rsid w:val="00764124"/>
    <w:rsid w:val="007673FE"/>
    <w:rsid w:val="0077208E"/>
    <w:rsid w:val="007767C2"/>
    <w:rsid w:val="00781EB6"/>
    <w:rsid w:val="0078402D"/>
    <w:rsid w:val="007A57EA"/>
    <w:rsid w:val="007B0C9B"/>
    <w:rsid w:val="007D1A80"/>
    <w:rsid w:val="007D3FC6"/>
    <w:rsid w:val="007F163D"/>
    <w:rsid w:val="0080660E"/>
    <w:rsid w:val="00831783"/>
    <w:rsid w:val="00870833"/>
    <w:rsid w:val="008C0058"/>
    <w:rsid w:val="008F0C5A"/>
    <w:rsid w:val="00915D3A"/>
    <w:rsid w:val="0092424C"/>
    <w:rsid w:val="00934223"/>
    <w:rsid w:val="00951094"/>
    <w:rsid w:val="00952760"/>
    <w:rsid w:val="00963780"/>
    <w:rsid w:val="0096598D"/>
    <w:rsid w:val="00984051"/>
    <w:rsid w:val="009A5616"/>
    <w:rsid w:val="009B1F6D"/>
    <w:rsid w:val="009C4C0E"/>
    <w:rsid w:val="009D0413"/>
    <w:rsid w:val="009D079B"/>
    <w:rsid w:val="00A2265E"/>
    <w:rsid w:val="00A625FE"/>
    <w:rsid w:val="00A83F91"/>
    <w:rsid w:val="00A94772"/>
    <w:rsid w:val="00AA7C6D"/>
    <w:rsid w:val="00AB3648"/>
    <w:rsid w:val="00AB3903"/>
    <w:rsid w:val="00B02F81"/>
    <w:rsid w:val="00B17696"/>
    <w:rsid w:val="00B17B06"/>
    <w:rsid w:val="00B516DB"/>
    <w:rsid w:val="00B70AFF"/>
    <w:rsid w:val="00B728E0"/>
    <w:rsid w:val="00B9075E"/>
    <w:rsid w:val="00BA005E"/>
    <w:rsid w:val="00BB0C50"/>
    <w:rsid w:val="00BB7E64"/>
    <w:rsid w:val="00BF252C"/>
    <w:rsid w:val="00BF5F5E"/>
    <w:rsid w:val="00C03ADE"/>
    <w:rsid w:val="00C35CEE"/>
    <w:rsid w:val="00C50F68"/>
    <w:rsid w:val="00C5112E"/>
    <w:rsid w:val="00CA39D5"/>
    <w:rsid w:val="00CD0FF9"/>
    <w:rsid w:val="00CD654D"/>
    <w:rsid w:val="00CE5C7E"/>
    <w:rsid w:val="00D05FAA"/>
    <w:rsid w:val="00D4553A"/>
    <w:rsid w:val="00D657ED"/>
    <w:rsid w:val="00D66D40"/>
    <w:rsid w:val="00DC04E6"/>
    <w:rsid w:val="00DE51CD"/>
    <w:rsid w:val="00E51437"/>
    <w:rsid w:val="00E908BB"/>
    <w:rsid w:val="00E97061"/>
    <w:rsid w:val="00EB3103"/>
    <w:rsid w:val="00EE63F2"/>
    <w:rsid w:val="00EF497A"/>
    <w:rsid w:val="00F22527"/>
    <w:rsid w:val="00F344C0"/>
    <w:rsid w:val="00F4342E"/>
    <w:rsid w:val="00FE0624"/>
    <w:rsid w:val="00FF43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05E"/>
    <w:pPr>
      <w:ind w:left="720"/>
      <w:contextualSpacing/>
    </w:pPr>
  </w:style>
  <w:style w:type="paragraph" w:styleId="Header">
    <w:name w:val="header"/>
    <w:basedOn w:val="Normal"/>
    <w:link w:val="HeaderChar"/>
    <w:uiPriority w:val="99"/>
    <w:unhideWhenUsed/>
    <w:rsid w:val="00BA0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05E"/>
  </w:style>
  <w:style w:type="paragraph" w:styleId="Footer">
    <w:name w:val="footer"/>
    <w:basedOn w:val="Normal"/>
    <w:link w:val="FooterChar"/>
    <w:uiPriority w:val="99"/>
    <w:unhideWhenUsed/>
    <w:rsid w:val="00BA0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05E"/>
  </w:style>
  <w:style w:type="paragraph" w:styleId="FootnoteText">
    <w:name w:val="footnote text"/>
    <w:basedOn w:val="Normal"/>
    <w:link w:val="FootnoteTextChar"/>
    <w:uiPriority w:val="99"/>
    <w:semiHidden/>
    <w:unhideWhenUsed/>
    <w:rsid w:val="007F1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63D"/>
    <w:rPr>
      <w:sz w:val="20"/>
      <w:szCs w:val="20"/>
    </w:rPr>
  </w:style>
  <w:style w:type="character" w:styleId="FootnoteReference">
    <w:name w:val="footnote reference"/>
    <w:basedOn w:val="DefaultParagraphFont"/>
    <w:uiPriority w:val="99"/>
    <w:semiHidden/>
    <w:unhideWhenUsed/>
    <w:rsid w:val="007F163D"/>
    <w:rPr>
      <w:vertAlign w:val="superscript"/>
    </w:rPr>
  </w:style>
  <w:style w:type="paragraph" w:styleId="BalloonText">
    <w:name w:val="Balloon Text"/>
    <w:basedOn w:val="Normal"/>
    <w:link w:val="BalloonTextChar"/>
    <w:uiPriority w:val="99"/>
    <w:semiHidden/>
    <w:unhideWhenUsed/>
    <w:rsid w:val="0078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05E"/>
    <w:pPr>
      <w:ind w:left="720"/>
      <w:contextualSpacing/>
    </w:pPr>
  </w:style>
  <w:style w:type="paragraph" w:styleId="Header">
    <w:name w:val="header"/>
    <w:basedOn w:val="Normal"/>
    <w:link w:val="HeaderChar"/>
    <w:uiPriority w:val="99"/>
    <w:unhideWhenUsed/>
    <w:rsid w:val="00BA0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05E"/>
  </w:style>
  <w:style w:type="paragraph" w:styleId="Footer">
    <w:name w:val="footer"/>
    <w:basedOn w:val="Normal"/>
    <w:link w:val="FooterChar"/>
    <w:uiPriority w:val="99"/>
    <w:unhideWhenUsed/>
    <w:rsid w:val="00BA0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05E"/>
  </w:style>
  <w:style w:type="paragraph" w:styleId="FootnoteText">
    <w:name w:val="footnote text"/>
    <w:basedOn w:val="Normal"/>
    <w:link w:val="FootnoteTextChar"/>
    <w:uiPriority w:val="99"/>
    <w:semiHidden/>
    <w:unhideWhenUsed/>
    <w:rsid w:val="007F1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63D"/>
    <w:rPr>
      <w:sz w:val="20"/>
      <w:szCs w:val="20"/>
    </w:rPr>
  </w:style>
  <w:style w:type="character" w:styleId="FootnoteReference">
    <w:name w:val="footnote reference"/>
    <w:basedOn w:val="DefaultParagraphFont"/>
    <w:uiPriority w:val="99"/>
    <w:semiHidden/>
    <w:unhideWhenUsed/>
    <w:rsid w:val="007F163D"/>
    <w:rPr>
      <w:vertAlign w:val="superscript"/>
    </w:rPr>
  </w:style>
  <w:style w:type="paragraph" w:styleId="BalloonText">
    <w:name w:val="Balloon Text"/>
    <w:basedOn w:val="Normal"/>
    <w:link w:val="BalloonTextChar"/>
    <w:uiPriority w:val="99"/>
    <w:semiHidden/>
    <w:unhideWhenUsed/>
    <w:rsid w:val="0078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1452-F773-4FFB-9521-7F3C13B8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2014-01-21T05:20:00Z</cp:lastPrinted>
  <dcterms:created xsi:type="dcterms:W3CDTF">2014-03-16T22:23:00Z</dcterms:created>
  <dcterms:modified xsi:type="dcterms:W3CDTF">2014-03-16T22:23:00Z</dcterms:modified>
</cp:coreProperties>
</file>